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753B4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</w:rPr>
        <w:t>附件2</w:t>
      </w:r>
    </w:p>
    <w:p w14:paraId="7059F2FB">
      <w:pPr>
        <w:widowControl w:val="0"/>
        <w:spacing w:line="360" w:lineRule="auto"/>
        <w:ind w:firstLine="0" w:firstLineChars="0"/>
        <w:jc w:val="center"/>
        <w:rPr>
          <w:rFonts w:hint="eastAsia" w:ascii="方正楷体_GBK" w:hAnsi="方正楷体_GBK" w:eastAsia="方正楷体_GBK" w:cs="方正楷体_GBK"/>
          <w:b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sz w:val="32"/>
          <w:szCs w:val="32"/>
        </w:rPr>
        <w:t>四川欣康绿食品有限公司预重整</w:t>
      </w:r>
    </w:p>
    <w:p w14:paraId="5C7C0155">
      <w:pPr>
        <w:widowControl w:val="0"/>
        <w:spacing w:line="360" w:lineRule="auto"/>
        <w:ind w:firstLine="0" w:firstLineChars="0"/>
        <w:jc w:val="center"/>
        <w:rPr>
          <w:rFonts w:hint="eastAsia" w:ascii="方正楷体_GBK" w:hAnsi="方正楷体_GBK" w:eastAsia="方正楷体_GBK" w:cs="方正楷体_GBK"/>
          <w:b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sz w:val="32"/>
          <w:szCs w:val="32"/>
        </w:rPr>
        <w:t>中介服务报价函</w:t>
      </w:r>
    </w:p>
    <w:p w14:paraId="41C9A16B">
      <w:pPr>
        <w:widowControl w:val="0"/>
        <w:spacing w:line="360" w:lineRule="auto"/>
        <w:ind w:firstLine="560" w:firstLineChars="200"/>
        <w:jc w:val="both"/>
        <w:rPr>
          <w:rFonts w:hint="eastAsia" w:ascii="方正楷体_GBK" w:hAnsi="方正楷体_GBK" w:eastAsia="方正楷体_GBK" w:cs="方正楷体_GBK"/>
          <w:sz w:val="28"/>
          <w:szCs w:val="28"/>
        </w:rPr>
      </w:pPr>
      <w:bookmarkStart w:id="0" w:name="_GoBack"/>
      <w:bookmarkEnd w:id="0"/>
    </w:p>
    <w:p w14:paraId="4CFFB92E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致：四川欣康绿食品有限公司临时管理人</w:t>
      </w:r>
    </w:p>
    <w:p w14:paraId="54F010FB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我方已仔细阅读《四川欣康绿食品有限公司临时管理人关于公开比选审计、评估、造价机构的公告》（以下简称“公告”）及其全部附件，充分理解并接受公告的全部内容和条件，现就公告第二条所列【　　　　　　】</w:t>
      </w:r>
      <w:r>
        <w:rPr>
          <w:rFonts w:hint="eastAsia" w:ascii="方正楷体_GBK" w:hAnsi="方正楷体_GBK" w:eastAsia="方正楷体_GBK" w:cs="方正楷体_GBK"/>
          <w:sz w:val="24"/>
          <w:szCs w:val="24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24"/>
          <w:szCs w:val="24"/>
          <w:lang w:val="en-US" w:eastAsia="zh-CN"/>
        </w:rPr>
        <w:t>单份报价函仅填写一项服务内容报价，报名多项的填写多份报价函）</w:t>
      </w:r>
      <w:r>
        <w:rPr>
          <w:rFonts w:hint="eastAsia" w:ascii="方正楷体_GBK" w:hAnsi="方正楷体_GBK" w:eastAsia="方正楷体_GBK" w:cs="方正楷体_GBK"/>
          <w:sz w:val="24"/>
          <w:szCs w:val="24"/>
        </w:rPr>
        <w:t>类别中介服务工作报价如下：</w:t>
      </w:r>
    </w:p>
    <w:p w14:paraId="56539FDA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</w:p>
    <w:tbl>
      <w:tblPr>
        <w:tblStyle w:val="7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6240"/>
      </w:tblGrid>
      <w:tr w14:paraId="2E8508CC">
        <w:trPr>
          <w:jc w:val="center"/>
        </w:trPr>
        <w:tc>
          <w:tcPr>
            <w:tcW w:w="2400" w:type="dxa"/>
            <w:vAlign w:val="center"/>
          </w:tcPr>
          <w:p w14:paraId="681817A7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  <w:t>参选类别</w:t>
            </w:r>
          </w:p>
        </w:tc>
        <w:tc>
          <w:tcPr>
            <w:tcW w:w="6240" w:type="dxa"/>
            <w:vAlign w:val="center"/>
          </w:tcPr>
          <w:p w14:paraId="15F50ACE">
            <w:pPr>
              <w:widowControl w:val="0"/>
              <w:spacing w:line="360" w:lineRule="auto"/>
              <w:ind w:firstLine="0" w:firstLineChars="0"/>
              <w:jc w:val="left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□审计机构　　□评估机构　　□造价咨询机构（择一勾选，并按所报类别分别提交本报价函）</w:t>
            </w:r>
          </w:p>
        </w:tc>
      </w:tr>
      <w:tr w14:paraId="79F27CFC">
        <w:trPr>
          <w:jc w:val="center"/>
        </w:trPr>
        <w:tc>
          <w:tcPr>
            <w:tcW w:w="2400" w:type="dxa"/>
            <w:vAlign w:val="center"/>
          </w:tcPr>
          <w:p w14:paraId="2C83CFD0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  <w:t>服务费用总价（小写）</w:t>
            </w:r>
          </w:p>
        </w:tc>
        <w:tc>
          <w:tcPr>
            <w:tcW w:w="6240" w:type="dxa"/>
            <w:vAlign w:val="center"/>
          </w:tcPr>
          <w:p w14:paraId="074961F2">
            <w:pPr>
              <w:widowControl w:val="0"/>
              <w:spacing w:line="360" w:lineRule="auto"/>
              <w:ind w:firstLine="0" w:firstLineChars="0"/>
              <w:jc w:val="left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人民币　　　　　　　　　　元</w:t>
            </w:r>
          </w:p>
        </w:tc>
      </w:tr>
      <w:tr w14:paraId="481DBBCB">
        <w:trPr>
          <w:jc w:val="center"/>
        </w:trPr>
        <w:tc>
          <w:tcPr>
            <w:tcW w:w="2400" w:type="dxa"/>
            <w:vAlign w:val="center"/>
          </w:tcPr>
          <w:p w14:paraId="1F2C056D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  <w:t>服务费用总价（大写）</w:t>
            </w:r>
          </w:p>
        </w:tc>
        <w:tc>
          <w:tcPr>
            <w:tcW w:w="6240" w:type="dxa"/>
            <w:vAlign w:val="center"/>
          </w:tcPr>
          <w:p w14:paraId="06BFE729">
            <w:pPr>
              <w:widowControl w:val="0"/>
              <w:spacing w:line="360" w:lineRule="auto"/>
              <w:ind w:firstLine="0" w:firstLineChars="0"/>
              <w:jc w:val="left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人民币　　　　　　　　　　　　　　　　　　　　</w:t>
            </w:r>
          </w:p>
        </w:tc>
      </w:tr>
      <w:tr w14:paraId="678F63FD">
        <w:trPr>
          <w:jc w:val="center"/>
        </w:trPr>
        <w:tc>
          <w:tcPr>
            <w:tcW w:w="2400" w:type="dxa"/>
            <w:vAlign w:val="center"/>
          </w:tcPr>
          <w:p w14:paraId="51742BB7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  <w:t>服务费用最高上限</w:t>
            </w:r>
          </w:p>
        </w:tc>
        <w:tc>
          <w:tcPr>
            <w:tcW w:w="6240" w:type="dxa"/>
            <w:vAlign w:val="center"/>
          </w:tcPr>
          <w:p w14:paraId="29C2831C">
            <w:pPr>
              <w:widowControl w:val="0"/>
              <w:spacing w:line="360" w:lineRule="auto"/>
              <w:ind w:firstLine="0" w:firstLineChars="0"/>
              <w:jc w:val="left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同上述报价。本报价即为完成公告第二条对应类别全部工作范围的总价包干金额，亦为我方收取服务费用的最高上限。</w:t>
            </w:r>
          </w:p>
        </w:tc>
      </w:tr>
      <w:tr w14:paraId="7330FD25">
        <w:trPr>
          <w:jc w:val="center"/>
        </w:trPr>
        <w:tc>
          <w:tcPr>
            <w:tcW w:w="2400" w:type="dxa"/>
            <w:vAlign w:val="center"/>
          </w:tcPr>
          <w:p w14:paraId="42BD3C6E"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sz w:val="24"/>
                <w:szCs w:val="24"/>
              </w:rPr>
              <w:t>报价有效期</w:t>
            </w:r>
          </w:p>
        </w:tc>
        <w:tc>
          <w:tcPr>
            <w:tcW w:w="6240" w:type="dxa"/>
            <w:vAlign w:val="center"/>
          </w:tcPr>
          <w:p w14:paraId="1014129B">
            <w:pPr>
              <w:widowControl w:val="0"/>
              <w:spacing w:line="360" w:lineRule="auto"/>
              <w:ind w:firstLine="0" w:firstLineChars="0"/>
              <w:jc w:val="left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自参选文件递交截止之日起90日</w:t>
            </w:r>
          </w:p>
        </w:tc>
      </w:tr>
    </w:tbl>
    <w:p w14:paraId="299F4BDC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</w:p>
    <w:p w14:paraId="408496F2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一、本报价为完成公告第二条对应类别全部工作范围的总价包干金额，已包含税费、差旅、食宿、资料、外部询证、必要的检测鉴定等全部费用，并作为服务费用的最高上限；除管理人书面确认新增工作范围外，不因工作量增加而调整。</w:t>
      </w:r>
    </w:p>
    <w:p w14:paraId="425C9840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二、我方认可并接受：本项目委托人为四川欣康绿食品有限公司临时管理人，服务费用支付责任主体为四川欣康绿食品有限公司，服务费用作为破产费用，根据预重整及后续破产程序进展情况，由管理人报人民法院后安排支付时间；若预重整程序未能转入重整程序，费用由人民法院确定，并以债务人预交费用为限按比例支付。</w:t>
      </w:r>
    </w:p>
    <w:p w14:paraId="5DC6258B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三、本报价及我方参选文件的有效期为自参选文件递交截止之日起90日。有效期内，我方不撤销、不修改报价及参选文件的实质性内容。</w:t>
      </w:r>
    </w:p>
    <w:p w14:paraId="7BB6AA32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四、我方仅有一个报价，不存在选择性报价或者附条件报价。本报价函大写与小写不一致的，以大写为准。</w:t>
      </w:r>
    </w:p>
    <w:p w14:paraId="596C217B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五、我方承诺：中标后按公告及《中标通知书》确定的时限签订服务合同、组建团队进场，并按经管理人确认的工作方案节点提交阶段性成果及正式成果文件；逾期提交的，按服务费用总额每日万分之五承担违约责任。</w:t>
      </w:r>
    </w:p>
    <w:p w14:paraId="30F80B12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六、我方承诺：不向管理人工作人员、评审人员及相关人员输送任何不当利益；对执业过程中知悉的债务人商业秘密及未公开的重整信息严格保密。</w:t>
      </w:r>
    </w:p>
    <w:p w14:paraId="7D29D629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</w:p>
    <w:p w14:paraId="45CF7E74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参选机构（盖章）：</w:t>
      </w:r>
    </w:p>
    <w:p w14:paraId="76C52CC3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法定代表人或授权代表（签字）：</w:t>
      </w:r>
    </w:p>
    <w:p w14:paraId="4851C561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联系人及联系电话：</w:t>
      </w:r>
    </w:p>
    <w:p w14:paraId="11509D9F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二〇二六年　　月　　日</w:t>
      </w:r>
    </w:p>
    <w:sectPr>
      <w:headerReference r:id="rId3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楷体_GBK">
    <w:altName w:val="汉仪楷体简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0204C">
    <w:pPr>
      <w:pStyle w:val="5"/>
      <w:pBdr>
        <w:bottom w:val="single" w:color="auto" w:sz="4" w:space="1"/>
      </w:pBdr>
    </w:pPr>
  </w:p>
  <w:p w14:paraId="40A8E768">
    <w:pPr>
      <w:pStyle w:val="5"/>
      <w:pBdr>
        <w:bottom w:val="single" w:color="auto" w:sz="4" w:space="1"/>
      </w:pBdr>
      <w:jc w:val="center"/>
    </w:pPr>
    <w:r>
      <w:br w:type="textWrapping"/>
    </w:r>
    <w:r>
      <w:br w:type="textWrapping"/>
    </w:r>
    <w:r>
      <w:rPr>
        <w:rFonts w:hint="eastAsia" w:ascii="方正楷体_GBK" w:hAnsi="方正楷体_GBK" w:eastAsia="方正楷体_GBK" w:cs="方正楷体_GBK"/>
        <w:color w:val="000000" w:themeColor="text1"/>
        <w14:textFill>
          <w14:solidFill>
            <w14:schemeClr w14:val="tx1"/>
          </w14:solidFill>
        </w14:textFill>
      </w:rPr>
      <w:t>四川欣康绿食品有限公司临时管理人</w:t>
    </w:r>
    <w:r>
      <w:rPr>
        <w:sz w:val="15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2207895</wp:posOffset>
          </wp:positionH>
          <wp:positionV relativeFrom="paragraph">
            <wp:posOffset>-165100</wp:posOffset>
          </wp:positionV>
          <wp:extent cx="854710" cy="436245"/>
          <wp:effectExtent l="0" t="0" r="8890" b="20955"/>
          <wp:wrapSquare wrapText="bothSides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710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FFFAA4"/>
    <w:rsid w:val="497D5068"/>
    <w:rsid w:val="73AF2E80"/>
    <w:rsid w:val="7FBBF85E"/>
    <w:rsid w:val="7FED2354"/>
    <w:rsid w:val="B0FDB678"/>
    <w:rsid w:val="BDFFCD6C"/>
    <w:rsid w:val="DA9F28E5"/>
    <w:rsid w:val="EDFFCD26"/>
    <w:rsid w:val="F7D56D6B"/>
    <w:rsid w:val="FE7FE6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2</TotalTime>
  <ScaleCrop>false</ScaleCrop>
  <LinksUpToDate>false</LinksUpToDate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2026-10-18T02:21:00Z</dcterms:created>
  <dc:creator>Data</dc:creator>
  <cp:lastModifiedBy>泰和泰律师</cp:lastModifiedBy>
  <dcterms:modified xsi:type="dcterms:W3CDTF">2026-10-19T14:52:17Z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86732557DF9CE431DFBAD16AF5A12BBC_43</vt:lpwstr>
  </property>
</Properties>
</file>