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C353B">
      <w:pPr>
        <w:widowControl w:val="0"/>
        <w:spacing w:line="360" w:lineRule="auto"/>
        <w:ind w:firstLine="0" w:firstLineChars="0"/>
        <w:jc w:val="left"/>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t>附件5</w:t>
      </w:r>
    </w:p>
    <w:p w14:paraId="51846F1A">
      <w:pPr>
        <w:widowControl w:val="0"/>
        <w:spacing w:line="360" w:lineRule="auto"/>
        <w:ind w:firstLine="0" w:firstLineChars="0"/>
        <w:jc w:val="center"/>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保密及廉洁承诺书</w:t>
      </w:r>
    </w:p>
    <w:p w14:paraId="4C1AFA5B">
      <w:pPr>
        <w:widowControl w:val="0"/>
        <w:spacing w:line="360" w:lineRule="auto"/>
        <w:ind w:firstLine="560" w:firstLineChars="200"/>
        <w:jc w:val="both"/>
        <w:rPr>
          <w:rFonts w:hint="eastAsia" w:ascii="方正楷体_GBK" w:hAnsi="方正楷体_GBK" w:eastAsia="方正楷体_GBK" w:cs="方正楷体_GBK"/>
          <w:sz w:val="28"/>
          <w:szCs w:val="28"/>
        </w:rPr>
      </w:pPr>
    </w:p>
    <w:p w14:paraId="0C19DD81">
      <w:pPr>
        <w:widowControl w:val="0"/>
        <w:spacing w:line="360" w:lineRule="auto"/>
        <w:ind w:firstLine="0" w:firstLineChars="0"/>
        <w:jc w:val="left"/>
        <w:rPr>
          <w:rFonts w:hint="eastAsia" w:ascii="方正楷体_GBK" w:hAnsi="方正楷体_GBK" w:eastAsia="方正楷体_GBK" w:cs="方正楷体_GBK"/>
          <w:sz w:val="24"/>
          <w:szCs w:val="24"/>
        </w:rPr>
      </w:pPr>
      <w:bookmarkStart w:id="0" w:name="_GoBack"/>
      <w:r>
        <w:rPr>
          <w:rFonts w:hint="eastAsia" w:ascii="方正楷体_GBK" w:hAnsi="方正楷体_GBK" w:eastAsia="方正楷体_GBK" w:cs="方正楷体_GBK"/>
          <w:sz w:val="24"/>
          <w:szCs w:val="24"/>
        </w:rPr>
        <w:t>致：四川欣康绿食品有限公司临时管理人</w:t>
      </w:r>
    </w:p>
    <w:p w14:paraId="7AB737A8">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我方自愿参加四川欣康绿食品有限公司预重整审计机构、评估机构、造价咨询机构公开比选活动，并承诺在参选及中选后执业过程中严格履行下列保密及廉洁义务：</w:t>
      </w:r>
    </w:p>
    <w:p w14:paraId="4454B1CB">
      <w:pPr>
        <w:widowControl w:val="0"/>
        <w:spacing w:line="360" w:lineRule="auto"/>
        <w:ind w:firstLine="0" w:firstLineChars="0"/>
        <w:jc w:val="left"/>
        <w:rPr>
          <w:rFonts w:hint="eastAsia" w:ascii="方正楷体_GBK" w:hAnsi="方正楷体_GBK" w:eastAsia="方正楷体_GBK" w:cs="方正楷体_GBK"/>
          <w:b/>
          <w:sz w:val="24"/>
          <w:szCs w:val="24"/>
        </w:rPr>
      </w:pPr>
      <w:r>
        <w:rPr>
          <w:rFonts w:hint="eastAsia" w:ascii="方正楷体_GBK" w:hAnsi="方正楷体_GBK" w:eastAsia="方正楷体_GBK" w:cs="方正楷体_GBK"/>
          <w:b/>
          <w:sz w:val="24"/>
          <w:szCs w:val="24"/>
        </w:rPr>
        <w:t>一、保密范围</w:t>
      </w:r>
    </w:p>
    <w:p w14:paraId="643D9D49">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我方及我方工作人员在参选、执业过程中知悉的下列信息，均属保密信息：（1）债务人的财务账册、会计凭证、债权债务、合同、税务等经营和财务信息；（2）债务人的资产、在建工程、土地房产、知识产权、诉讼仲裁等信息；（3）预重整及后续重整程序的进展、方案、债权人意见、意向投资人及其报价等信息；（4）管理人、人民法院及其他中介机构未公开的工作信息；（5）其他依照法律法规或者合同约定应当保密的信息。</w:t>
      </w:r>
    </w:p>
    <w:p w14:paraId="3DE1DFD8">
      <w:pPr>
        <w:widowControl w:val="0"/>
        <w:spacing w:line="360" w:lineRule="auto"/>
        <w:ind w:firstLine="0" w:firstLineChars="0"/>
        <w:jc w:val="left"/>
        <w:rPr>
          <w:rFonts w:hint="eastAsia" w:ascii="方正楷体_GBK" w:hAnsi="方正楷体_GBK" w:eastAsia="方正楷体_GBK" w:cs="方正楷体_GBK"/>
          <w:b/>
          <w:sz w:val="24"/>
          <w:szCs w:val="24"/>
        </w:rPr>
      </w:pPr>
      <w:r>
        <w:rPr>
          <w:rFonts w:hint="eastAsia" w:ascii="方正楷体_GBK" w:hAnsi="方正楷体_GBK" w:eastAsia="方正楷体_GBK" w:cs="方正楷体_GBK"/>
          <w:b/>
          <w:sz w:val="24"/>
          <w:szCs w:val="24"/>
        </w:rPr>
        <w:t>二、保密义务</w:t>
      </w:r>
    </w:p>
    <w:p w14:paraId="30732962">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1. 保密信息仅用于完成本项目服务事项，不得用于其他目的；</w:t>
      </w:r>
    </w:p>
    <w:p w14:paraId="02EAC04A">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2. 不得复制、摘抄、公开、传播或者以其他方式向第三方披露保密信息；因工作需要向本方项目组成员披露的，应限于必要范围，并要求其承担同等保密义务；</w:t>
      </w:r>
    </w:p>
    <w:p w14:paraId="2BFB088E">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3. 未经管理人书面同意，不得对外发布与本项目有关的任何信息，不得以本项目名义进行宣传；</w:t>
      </w:r>
    </w:p>
    <w:p w14:paraId="376F4A8A">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4. 保密义务自本承诺书签署之日起生效，不因服务合同终止、解除或者工作完成而免除；</w:t>
      </w:r>
    </w:p>
    <w:p w14:paraId="3BD0377B">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5. 工作完成或者服务合同终止、解除后，应按管理人要求返还或者销毁其持有的保密信息载体及复制件，但依法应当归档保存的工作底稿除外。</w:t>
      </w:r>
    </w:p>
    <w:p w14:paraId="7DB4D968">
      <w:pPr>
        <w:widowControl w:val="0"/>
        <w:spacing w:line="360" w:lineRule="auto"/>
        <w:ind w:firstLine="0" w:firstLineChars="0"/>
        <w:jc w:val="left"/>
        <w:rPr>
          <w:rFonts w:hint="eastAsia" w:ascii="方正楷体_GBK" w:hAnsi="方正楷体_GBK" w:eastAsia="方正楷体_GBK" w:cs="方正楷体_GBK"/>
          <w:b/>
          <w:sz w:val="24"/>
          <w:szCs w:val="24"/>
        </w:rPr>
      </w:pPr>
      <w:r>
        <w:rPr>
          <w:rFonts w:hint="eastAsia" w:ascii="方正楷体_GBK" w:hAnsi="方正楷体_GBK" w:eastAsia="方正楷体_GBK" w:cs="方正楷体_GBK"/>
          <w:b/>
          <w:sz w:val="24"/>
          <w:szCs w:val="24"/>
        </w:rPr>
        <w:t>三、禁止内幕交易与利益冲突</w:t>
      </w:r>
    </w:p>
    <w:p w14:paraId="231D59A2">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1. 不得利用执业过程中知悉的信息为自己或者他人谋取利益，不得买卖债务人财产、债权或者与重整相关的权益，不得从事内幕交易、操纵市场等违法行为；</w:t>
      </w:r>
    </w:p>
    <w:p w14:paraId="23719505">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2. 不得同时为意向投资人、竞买人或者与债务人存在利益冲突的主体提供与本项目相冲突的服务；发现存在利益冲突的，应立即书面报告管理人并按要求回避。</w:t>
      </w:r>
    </w:p>
    <w:p w14:paraId="3B852824">
      <w:pPr>
        <w:widowControl w:val="0"/>
        <w:spacing w:line="360" w:lineRule="auto"/>
        <w:ind w:firstLine="0" w:firstLineChars="0"/>
        <w:jc w:val="left"/>
        <w:rPr>
          <w:rFonts w:hint="eastAsia" w:ascii="方正楷体_GBK" w:hAnsi="方正楷体_GBK" w:eastAsia="方正楷体_GBK" w:cs="方正楷体_GBK"/>
          <w:b/>
          <w:sz w:val="24"/>
          <w:szCs w:val="24"/>
        </w:rPr>
      </w:pPr>
      <w:r>
        <w:rPr>
          <w:rFonts w:hint="eastAsia" w:ascii="方正楷体_GBK" w:hAnsi="方正楷体_GBK" w:eastAsia="方正楷体_GBK" w:cs="方正楷体_GBK"/>
          <w:b/>
          <w:sz w:val="24"/>
          <w:szCs w:val="24"/>
        </w:rPr>
        <w:t>四、廉洁承诺</w:t>
      </w:r>
    </w:p>
    <w:p w14:paraId="323F747E">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1. 不向管理人工作人员、人民法院工作人员、债权人及其代表、评审人员及其他相关人员赠送礼品礼金、有价证券、支付凭证，或者提供宴请、旅游、娱乐等不当利益；</w:t>
      </w:r>
    </w:p>
    <w:p w14:paraId="02B99D91">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2. 不接受任何单位或者个人就本项目评审、成果出具等事项的请托；</w:t>
      </w:r>
    </w:p>
    <w:p w14:paraId="5F2CCC3A">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3. 不与其他参选机构串通参选，不以不正当手段影响评审结果。</w:t>
      </w:r>
    </w:p>
    <w:p w14:paraId="7071BDC3">
      <w:pPr>
        <w:widowControl w:val="0"/>
        <w:spacing w:line="360" w:lineRule="auto"/>
        <w:ind w:firstLine="0" w:firstLineChars="0"/>
        <w:jc w:val="left"/>
        <w:rPr>
          <w:rFonts w:hint="eastAsia" w:ascii="方正楷体_GBK" w:hAnsi="方正楷体_GBK" w:eastAsia="方正楷体_GBK" w:cs="方正楷体_GBK"/>
          <w:b/>
          <w:sz w:val="24"/>
          <w:szCs w:val="24"/>
        </w:rPr>
      </w:pPr>
      <w:r>
        <w:rPr>
          <w:rFonts w:hint="eastAsia" w:ascii="方正楷体_GBK" w:hAnsi="方正楷体_GBK" w:eastAsia="方正楷体_GBK" w:cs="方正楷体_GBK"/>
          <w:b/>
          <w:sz w:val="24"/>
          <w:szCs w:val="24"/>
        </w:rPr>
        <w:t>五、违约责任</w:t>
      </w:r>
    </w:p>
    <w:p w14:paraId="2D3CC1F7">
      <w:pPr>
        <w:widowControl w:val="0"/>
        <w:spacing w:line="360" w:lineRule="auto"/>
        <w:ind w:firstLine="480" w:firstLineChars="200"/>
        <w:jc w:val="both"/>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我方违反上述承诺的，管理人有权取消我方参选或者中标资格、解除服务合同，并要求赔偿由此造成的全部损失，同时有权向有关主管部门、行业协会通报；构成犯罪的，依法追究刑事责任。</w:t>
      </w:r>
    </w:p>
    <w:p w14:paraId="1F5F9688">
      <w:pPr>
        <w:widowControl w:val="0"/>
        <w:spacing w:line="360" w:lineRule="auto"/>
        <w:ind w:firstLine="480" w:firstLineChars="200"/>
        <w:jc w:val="both"/>
        <w:rPr>
          <w:rFonts w:hint="eastAsia" w:ascii="方正楷体_GBK" w:hAnsi="方正楷体_GBK" w:eastAsia="方正楷体_GBK" w:cs="方正楷体_GBK"/>
          <w:sz w:val="24"/>
          <w:szCs w:val="24"/>
        </w:rPr>
      </w:pPr>
    </w:p>
    <w:p w14:paraId="29D8119C">
      <w:pPr>
        <w:widowControl w:val="0"/>
        <w:spacing w:line="360" w:lineRule="auto"/>
        <w:ind w:firstLine="0" w:firstLineChars="0"/>
        <w:jc w:val="right"/>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参选机构（盖章）：</w:t>
      </w:r>
    </w:p>
    <w:p w14:paraId="402B3C38">
      <w:pPr>
        <w:widowControl w:val="0"/>
        <w:spacing w:line="360" w:lineRule="auto"/>
        <w:ind w:firstLine="0" w:firstLineChars="0"/>
        <w:jc w:val="right"/>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法定代表人或授权代表（签字）：</w:t>
      </w:r>
    </w:p>
    <w:p w14:paraId="7EE11A55">
      <w:pPr>
        <w:widowControl w:val="0"/>
        <w:spacing w:line="360" w:lineRule="auto"/>
        <w:ind w:firstLine="0" w:firstLineChars="0"/>
        <w:jc w:val="right"/>
        <w:rPr>
          <w:rFonts w:hint="eastAsia"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二〇二六年　　月　　日</w:t>
      </w:r>
    </w:p>
    <w:bookmarkEnd w:id="0"/>
    <w:sectPr>
      <w:head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Kaiti SC">
    <w:panose1 w:val="02010600040101010101"/>
    <w:charset w:val="86"/>
    <w:family w:val="auto"/>
    <w:pitch w:val="default"/>
    <w:sig w:usb0="80000287" w:usb1="280F3C52"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黑体">
    <w:altName w:val="汉仪中黑KW"/>
    <w:panose1 w:val="00000000000000000000"/>
    <w:charset w:val="86"/>
    <w:family w:val="auto"/>
    <w:pitch w:val="default"/>
    <w:sig w:usb0="00000000" w:usb1="00000000" w:usb2="00000000" w:usb3="00000000" w:csb0="00000000" w:csb1="00000000"/>
  </w:font>
  <w:font w:name="方正楷体_GBK">
    <w:altName w:val="汉仪楷体简"/>
    <w:panose1 w:val="02000000000000000000"/>
    <w:charset w:val="86"/>
    <w:family w:val="auto"/>
    <w:pitch w:val="default"/>
    <w:sig w:usb0="00000000" w:usb1="00000000" w:usb2="00000016" w:usb3="00000000" w:csb0="00040000" w:csb1="00000000"/>
  </w:font>
  <w:font w:name="黑体">
    <w:altName w:val="汉仪中黑KW"/>
    <w:panose1 w:val="00000000000000000000"/>
    <w:charset w:val="00"/>
    <w:family w:val="auto"/>
    <w:pitch w:val="default"/>
    <w:sig w:usb0="00000000" w:usb1="00000000" w:usb2="00000000" w:usb3="00000000" w:csb0="00000000" w:csb1="00000000"/>
  </w:font>
  <w:font w:name="汉仪楷体简">
    <w:panose1 w:val="02010600000101010101"/>
    <w:charset w:val="86"/>
    <w:family w:val="auto"/>
    <w:pitch w:val="default"/>
    <w:sig w:usb0="00000001" w:usb1="080E0800" w:usb2="00000002" w:usb3="00000000" w:csb0="0004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0204C">
    <w:pPr>
      <w:pStyle w:val="5"/>
      <w:pBdr>
        <w:bottom w:val="single" w:color="auto" w:sz="4" w:space="1"/>
      </w:pBdr>
    </w:pPr>
  </w:p>
  <w:p w14:paraId="40A8E768">
    <w:pPr>
      <w:pStyle w:val="5"/>
      <w:pBdr>
        <w:bottom w:val="single" w:color="auto" w:sz="4" w:space="1"/>
      </w:pBdr>
      <w:jc w:val="center"/>
    </w:pPr>
    <w:r>
      <w:br w:type="textWrapping"/>
    </w:r>
    <w:r>
      <w:br w:type="textWrapping"/>
    </w:r>
    <w:r>
      <w:rPr>
        <w:rFonts w:hint="eastAsia" w:ascii="方正楷体_GBK" w:hAnsi="方正楷体_GBK" w:eastAsia="方正楷体_GBK" w:cs="方正楷体_GBK"/>
        <w:color w:val="000000" w:themeColor="text1"/>
        <w14:textFill>
          <w14:solidFill>
            <w14:schemeClr w14:val="tx1"/>
          </w14:solidFill>
        </w14:textFill>
      </w:rPr>
      <w:t>四川欣康绿食品有限公司临时管理人</w:t>
    </w:r>
    <w:r>
      <w:rPr>
        <w:sz w:val="15"/>
      </w:rPr>
      <w:drawing>
        <wp:anchor distT="0" distB="0" distL="114300" distR="114300" simplePos="0" relativeHeight="251659264" behindDoc="0" locked="0" layoutInCell="1" allowOverlap="1">
          <wp:simplePos x="0" y="0"/>
          <wp:positionH relativeFrom="column">
            <wp:posOffset>2207895</wp:posOffset>
          </wp:positionH>
          <wp:positionV relativeFrom="paragraph">
            <wp:posOffset>-165100</wp:posOffset>
          </wp:positionV>
          <wp:extent cx="854710" cy="436245"/>
          <wp:effectExtent l="0" t="0" r="8890" b="2095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854710" cy="43624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documentProtection w:enforcement="0"/>
  <w:defaultTabStop w:val="420"/>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FFFAA4"/>
    <w:rsid w:val="497D5068"/>
    <w:rsid w:val="7FB71463"/>
    <w:rsid w:val="7FBBF85E"/>
    <w:rsid w:val="7FED2354"/>
    <w:rsid w:val="B0FDB678"/>
    <w:rsid w:val="BDFFCD6C"/>
    <w:rsid w:val="DA9F28E5"/>
    <w:rsid w:val="EDFFCD26"/>
    <w:rsid w:val="F7D56D6B"/>
    <w:rsid w:val="FE7FE6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Asci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unhideWhenUsed="0" w:uiPriority="99" w:semiHidden="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HAnsi" w:eastAsiaTheme="minorEastAsia" w:cstheme="minorBidi"/>
      <w:kern w:val="2"/>
      <w:sz w:val="21"/>
      <w:szCs w:val="24"/>
      <w:lang w:val="en-US" w:eastAsia="zh-CN" w:bidi="ar-SA"/>
    </w:rPr>
  </w:style>
  <w:style w:type="paragraph" w:styleId="2">
    <w:name w:val="heading 1"/>
    <w:next w:val="1"/>
    <w:qFormat/>
    <w:uiPriority w:val="9"/>
    <w:pPr>
      <w:keepNext/>
      <w:keepLines/>
      <w:spacing w:before="240" w:after="120"/>
      <w:jc w:val="left"/>
      <w:outlineLvl w:val="0"/>
    </w:pPr>
    <w:rPr>
      <w:rFonts w:asciiTheme="minorAscii" w:hAnsiTheme="minorHAnsi" w:eastAsiaTheme="minorEastAsia" w:cstheme="minorBidi"/>
      <w:b/>
      <w:kern w:val="2"/>
      <w:sz w:val="32"/>
      <w:szCs w:val="32"/>
      <w:lang w:val="en-US" w:eastAsia="zh-CN" w:bidi="ar-SA"/>
    </w:rPr>
  </w:style>
  <w:style w:type="paragraph" w:styleId="3">
    <w:name w:val="heading 2"/>
    <w:next w:val="1"/>
    <w:qFormat/>
    <w:uiPriority w:val="9"/>
    <w:pPr>
      <w:keepNext/>
      <w:keepLines/>
      <w:spacing w:before="200" w:after="100"/>
      <w:jc w:val="left"/>
      <w:outlineLvl w:val="1"/>
    </w:pPr>
    <w:rPr>
      <w:rFonts w:asciiTheme="minorAscii" w:hAnsiTheme="minorHAnsi" w:eastAsiaTheme="minorEastAsia" w:cstheme="minorBidi"/>
      <w:b/>
      <w:kern w:val="2"/>
      <w:sz w:val="26"/>
      <w:szCs w:val="26"/>
      <w:lang w:val="en-US" w:eastAsia="zh-CN" w:bidi="ar-SA"/>
    </w:rPr>
  </w:style>
  <w:style w:type="character" w:default="1" w:styleId="8">
    <w:name w:val="Default Paragraph Font"/>
    <w:semiHidden/>
    <w:unhideWhenUsed/>
    <w:uiPriority w:val="1"/>
  </w:style>
  <w:style w:type="table" w:default="1" w:styleId="6">
    <w:name w:val="Normal Table"/>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rPr>
  </w:style>
  <w:style w:type="paragraph" w:styleId="5">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Office_12.1.24031.24031_F1E327BC-269C-435d-A152-05C5408002CA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2026-10-18T02:21:00Z</dcterms:created>
  <dc:creator>Data</dc:creator>
  <cp:lastModifiedBy>泰和泰律师</cp:lastModifiedBy>
  <dcterms:modified xsi:type="dcterms:W3CDTF">2026-10-19T14:53:46Z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86732557DF9CE431DFBAD16AF5A12BBC_43</vt:lpwstr>
  </property>
</Properties>
</file>