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283D935">
      <w:pPr>
        <w:jc w:val="center"/>
        <w:rPr>
          <w:rFonts w:hint="eastAsia"/>
          <w:b/>
          <w:bCs/>
          <w:sz w:val="32"/>
          <w:szCs w:val="40"/>
          <w:lang w:val="en-US" w:eastAsia="zh-CN"/>
        </w:rPr>
      </w:pPr>
      <w:r>
        <w:rPr>
          <w:rFonts w:hint="eastAsia"/>
          <w:b/>
          <w:bCs/>
          <w:sz w:val="32"/>
          <w:szCs w:val="40"/>
          <w:lang w:val="en-US" w:eastAsia="zh-CN"/>
        </w:rPr>
        <w:t>重庆国闳置业（集团）有限公司预重整案件</w:t>
      </w:r>
    </w:p>
    <w:p w14:paraId="10FC3A1E">
      <w:pPr>
        <w:jc w:val="center"/>
        <w:rPr>
          <w:rFonts w:hint="eastAsia"/>
          <w:b/>
          <w:bCs/>
          <w:sz w:val="32"/>
          <w:szCs w:val="40"/>
          <w:lang w:val="en-US" w:eastAsia="zh-CN"/>
        </w:rPr>
      </w:pPr>
      <w:r>
        <w:rPr>
          <w:rFonts w:hint="eastAsia"/>
          <w:b/>
          <w:bCs/>
          <w:sz w:val="32"/>
          <w:szCs w:val="40"/>
          <w:lang w:val="en-US" w:eastAsia="zh-CN"/>
        </w:rPr>
        <w:t>中介机构遴选评分规则</w:t>
      </w:r>
    </w:p>
    <w:p w14:paraId="2D5B1823">
      <w:pPr>
        <w:keepNext w:val="0"/>
        <w:keepLines w:val="0"/>
        <w:pageBreakBefore w:val="0"/>
        <w:widowControl w:val="0"/>
        <w:kinsoku/>
        <w:wordWrap/>
        <w:overflowPunct/>
        <w:topLinePunct w:val="0"/>
        <w:autoSpaceDE/>
        <w:autoSpaceDN/>
        <w:bidi w:val="0"/>
        <w:adjustRightInd/>
        <w:snapToGrid/>
        <w:ind w:firstLine="640" w:firstLineChars="200"/>
        <w:jc w:val="both"/>
        <w:textAlignment w:val="auto"/>
        <w:rPr>
          <w:rFonts w:hint="default"/>
          <w:b/>
          <w:bCs/>
          <w:sz w:val="32"/>
          <w:szCs w:val="40"/>
          <w:lang w:val="en-US" w:eastAsia="zh-CN"/>
        </w:rPr>
      </w:pPr>
      <w:r>
        <w:rPr>
          <w:rFonts w:hint="eastAsia" w:ascii="仿宋_GB2312" w:hAnsi="仿宋_GB2312" w:eastAsia="仿宋_GB2312" w:cs="仿宋_GB2312"/>
          <w:b w:val="0"/>
          <w:bCs w:val="0"/>
          <w:sz w:val="32"/>
          <w:szCs w:val="40"/>
          <w:lang w:val="en-US" w:eastAsia="zh-CN"/>
        </w:rPr>
        <w:t>重庆国闳置业（集团）有限公司临时管理人于2026年10</w:t>
      </w:r>
      <w:r>
        <w:rPr>
          <w:rFonts w:hint="eastAsia" w:ascii="仿宋_GB2312" w:hAnsi="仿宋_GB2312" w:eastAsia="仿宋_GB2312" w:cs="仿宋_GB2312"/>
          <w:b w:val="0"/>
          <w:bCs w:val="0"/>
          <w:sz w:val="32"/>
          <w:szCs w:val="40"/>
          <w:highlight w:val="none"/>
          <w:lang w:val="en-US" w:eastAsia="zh-CN"/>
        </w:rPr>
        <w:t>月29</w:t>
      </w:r>
      <w:r>
        <w:rPr>
          <w:rFonts w:hint="eastAsia" w:ascii="仿宋_GB2312" w:hAnsi="仿宋_GB2312" w:eastAsia="仿宋_GB2312" w:cs="仿宋_GB2312"/>
          <w:b w:val="0"/>
          <w:bCs w:val="0"/>
          <w:sz w:val="32"/>
          <w:szCs w:val="40"/>
          <w:lang w:val="en-US" w:eastAsia="zh-CN"/>
        </w:rPr>
        <w:t>日发布了公开遴选审计、评估机构的公告，现将本次公开遴选审计、评估机构的评分规则补充发布如下，以供意向参选人参考：</w:t>
      </w:r>
    </w:p>
    <w:tbl>
      <w:tblPr>
        <w:tblStyle w:val="4"/>
        <w:tblpPr w:leftFromText="180" w:rightFromText="180" w:vertAnchor="text" w:horzAnchor="page" w:tblpXSpec="center" w:tblpY="94"/>
        <w:tblOverlap w:val="never"/>
        <w:tblW w:w="10418"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687"/>
        <w:gridCol w:w="1123"/>
        <w:gridCol w:w="7779"/>
        <w:gridCol w:w="829"/>
      </w:tblGrid>
      <w:tr w14:paraId="707515D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9" w:hRule="atLeast"/>
          <w:jc w:val="center"/>
        </w:trPr>
        <w:tc>
          <w:tcPr>
            <w:tcW w:w="687" w:type="dxa"/>
            <w:vAlign w:val="center"/>
          </w:tcPr>
          <w:p w14:paraId="17217CC3">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b/>
                <w:bCs/>
                <w:i w:val="0"/>
                <w:iCs w:val="0"/>
                <w:color w:val="000000"/>
                <w:kern w:val="0"/>
                <w:sz w:val="24"/>
                <w:szCs w:val="24"/>
                <w:u w:val="none"/>
                <w:lang w:val="en-US" w:eastAsia="zh-CN" w:bidi="ar"/>
              </w:rPr>
            </w:pPr>
            <w:r>
              <w:rPr>
                <w:rFonts w:hint="eastAsia" w:ascii="仿宋" w:hAnsi="仿宋" w:eastAsia="仿宋" w:cs="仿宋"/>
                <w:b/>
                <w:bCs/>
                <w:i w:val="0"/>
                <w:iCs w:val="0"/>
                <w:color w:val="000000"/>
                <w:kern w:val="0"/>
                <w:sz w:val="24"/>
                <w:szCs w:val="24"/>
                <w:u w:val="none"/>
                <w:lang w:val="en-US" w:eastAsia="zh-CN" w:bidi="ar"/>
              </w:rPr>
              <w:t>序号</w:t>
            </w:r>
          </w:p>
        </w:tc>
        <w:tc>
          <w:tcPr>
            <w:tcW w:w="1123" w:type="dxa"/>
            <w:vAlign w:val="center"/>
          </w:tcPr>
          <w:p w14:paraId="1936185C">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b/>
                <w:bCs/>
                <w:i w:val="0"/>
                <w:iCs w:val="0"/>
                <w:color w:val="000000"/>
                <w:kern w:val="0"/>
                <w:sz w:val="24"/>
                <w:szCs w:val="24"/>
                <w:u w:val="none"/>
                <w:lang w:val="en-US" w:eastAsia="zh-CN" w:bidi="ar"/>
              </w:rPr>
            </w:pPr>
            <w:r>
              <w:rPr>
                <w:rFonts w:hint="eastAsia" w:ascii="仿宋" w:hAnsi="仿宋" w:eastAsia="仿宋" w:cs="仿宋"/>
                <w:b/>
                <w:bCs/>
                <w:i w:val="0"/>
                <w:iCs w:val="0"/>
                <w:color w:val="000000"/>
                <w:kern w:val="0"/>
                <w:sz w:val="24"/>
                <w:szCs w:val="24"/>
                <w:u w:val="none"/>
                <w:lang w:val="en-US" w:eastAsia="zh-CN" w:bidi="ar"/>
              </w:rPr>
              <w:t>评审内容</w:t>
            </w:r>
          </w:p>
        </w:tc>
        <w:tc>
          <w:tcPr>
            <w:tcW w:w="7779" w:type="dxa"/>
            <w:vAlign w:val="center"/>
          </w:tcPr>
          <w:p w14:paraId="3A3955D4">
            <w:pPr>
              <w:keepNext w:val="0"/>
              <w:keepLines w:val="0"/>
              <w:pageBreakBefore w:val="0"/>
              <w:widowControl/>
              <w:suppressLineNumbers w:val="0"/>
              <w:kinsoku/>
              <w:wordWrap/>
              <w:overflowPunct/>
              <w:topLinePunct w:val="0"/>
              <w:autoSpaceDE/>
              <w:autoSpaceDN/>
              <w:bidi w:val="0"/>
              <w:adjustRightInd/>
              <w:snapToGrid/>
              <w:spacing w:line="400" w:lineRule="exact"/>
              <w:ind w:left="0" w:leftChars="0" w:firstLine="422" w:firstLineChars="175"/>
              <w:jc w:val="center"/>
              <w:textAlignment w:val="center"/>
              <w:rPr>
                <w:rFonts w:hint="eastAsia" w:ascii="仿宋" w:hAnsi="仿宋" w:eastAsia="仿宋" w:cs="仿宋"/>
                <w:b/>
                <w:bCs/>
                <w:i w:val="0"/>
                <w:iCs w:val="0"/>
                <w:color w:val="000000"/>
                <w:kern w:val="0"/>
                <w:sz w:val="24"/>
                <w:szCs w:val="24"/>
                <w:u w:val="none"/>
                <w:lang w:val="en-US" w:eastAsia="zh-CN" w:bidi="ar"/>
              </w:rPr>
            </w:pPr>
            <w:r>
              <w:rPr>
                <w:rFonts w:hint="eastAsia" w:ascii="仿宋" w:hAnsi="仿宋" w:eastAsia="仿宋" w:cs="仿宋"/>
                <w:b/>
                <w:bCs/>
                <w:i w:val="0"/>
                <w:iCs w:val="0"/>
                <w:color w:val="000000"/>
                <w:kern w:val="0"/>
                <w:sz w:val="24"/>
                <w:szCs w:val="24"/>
                <w:u w:val="none"/>
                <w:lang w:val="en-US" w:eastAsia="zh-CN" w:bidi="ar"/>
              </w:rPr>
              <w:t>评审标准</w:t>
            </w:r>
          </w:p>
        </w:tc>
        <w:tc>
          <w:tcPr>
            <w:tcW w:w="829" w:type="dxa"/>
            <w:vAlign w:val="center"/>
          </w:tcPr>
          <w:p w14:paraId="317D0189">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b/>
                <w:bCs/>
                <w:i w:val="0"/>
                <w:iCs w:val="0"/>
                <w:color w:val="000000"/>
                <w:kern w:val="0"/>
                <w:sz w:val="24"/>
                <w:szCs w:val="24"/>
                <w:u w:val="none"/>
                <w:lang w:val="en-US" w:eastAsia="zh-CN" w:bidi="ar"/>
              </w:rPr>
            </w:pPr>
            <w:r>
              <w:rPr>
                <w:rFonts w:hint="eastAsia" w:ascii="仿宋" w:hAnsi="仿宋" w:eastAsia="仿宋" w:cs="仿宋"/>
                <w:b/>
                <w:bCs/>
                <w:i w:val="0"/>
                <w:iCs w:val="0"/>
                <w:color w:val="000000"/>
                <w:kern w:val="0"/>
                <w:sz w:val="24"/>
                <w:szCs w:val="24"/>
                <w:u w:val="none"/>
                <w:lang w:val="en-US" w:eastAsia="zh-CN" w:bidi="ar"/>
              </w:rPr>
              <w:t>分值</w:t>
            </w:r>
          </w:p>
        </w:tc>
      </w:tr>
      <w:tr w14:paraId="515908C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97" w:hRule="atLeast"/>
          <w:jc w:val="center"/>
        </w:trPr>
        <w:tc>
          <w:tcPr>
            <w:tcW w:w="687" w:type="dxa"/>
            <w:vAlign w:val="center"/>
          </w:tcPr>
          <w:p w14:paraId="1EB1F73E">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default"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1</w:t>
            </w:r>
          </w:p>
        </w:tc>
        <w:tc>
          <w:tcPr>
            <w:tcW w:w="1123" w:type="dxa"/>
            <w:vAlign w:val="center"/>
          </w:tcPr>
          <w:p w14:paraId="4E8235E0">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机构规模</w:t>
            </w:r>
          </w:p>
        </w:tc>
        <w:tc>
          <w:tcPr>
            <w:tcW w:w="7779" w:type="dxa"/>
            <w:vAlign w:val="center"/>
          </w:tcPr>
          <w:p w14:paraId="1A4BC9D8">
            <w:pPr>
              <w:keepNext w:val="0"/>
              <w:keepLines w:val="0"/>
              <w:pageBreakBefore w:val="0"/>
              <w:widowControl w:val="0"/>
              <w:kinsoku/>
              <w:wordWrap/>
              <w:overflowPunct/>
              <w:topLinePunct w:val="0"/>
              <w:autoSpaceDE/>
              <w:autoSpaceDN/>
              <w:bidi w:val="0"/>
              <w:adjustRightInd/>
              <w:snapToGrid/>
              <w:spacing w:line="400" w:lineRule="exact"/>
              <w:ind w:left="0" w:leftChars="0" w:firstLine="420" w:firstLineChars="175"/>
              <w:jc w:val="left"/>
              <w:textAlignment w:val="auto"/>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1.年限（5分）：成立3年以下的得1分；成立3年以上5年以下得3分；成立10年以上的得5分；</w:t>
            </w:r>
          </w:p>
          <w:p w14:paraId="1414839A">
            <w:pPr>
              <w:keepNext w:val="0"/>
              <w:keepLines w:val="0"/>
              <w:pageBreakBefore w:val="0"/>
              <w:widowControl w:val="0"/>
              <w:kinsoku/>
              <w:wordWrap/>
              <w:overflowPunct/>
              <w:topLinePunct w:val="0"/>
              <w:autoSpaceDE/>
              <w:autoSpaceDN/>
              <w:bidi w:val="0"/>
              <w:adjustRightInd/>
              <w:snapToGrid/>
              <w:spacing w:line="400" w:lineRule="exact"/>
              <w:ind w:left="0" w:leftChars="0" w:firstLine="420" w:firstLineChars="175"/>
              <w:jc w:val="left"/>
              <w:textAlignment w:val="auto"/>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2.人员（15分）：①机构注册会计师10人以下得2分，10人（含）以上得5分。（提供最近一期注册会计师任职资格年检公告）</w:t>
            </w:r>
          </w:p>
          <w:p w14:paraId="27B5553D">
            <w:pPr>
              <w:keepNext w:val="0"/>
              <w:keepLines w:val="0"/>
              <w:pageBreakBefore w:val="0"/>
              <w:widowControl w:val="0"/>
              <w:kinsoku/>
              <w:wordWrap/>
              <w:overflowPunct/>
              <w:topLinePunct w:val="0"/>
              <w:autoSpaceDE/>
              <w:autoSpaceDN/>
              <w:bidi w:val="0"/>
              <w:adjustRightInd/>
              <w:snapToGrid/>
              <w:spacing w:line="400" w:lineRule="exact"/>
              <w:ind w:left="0" w:leftChars="0" w:firstLine="420" w:firstLineChars="175"/>
              <w:jc w:val="left"/>
              <w:textAlignment w:val="auto"/>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②本项目拟派团队中注册会计师5人的得2分，每增加1人加1分，最高不超过5分。</w:t>
            </w:r>
          </w:p>
          <w:p w14:paraId="07CAFEC7">
            <w:pPr>
              <w:keepNext w:val="0"/>
              <w:keepLines w:val="0"/>
              <w:pageBreakBefore w:val="0"/>
              <w:widowControl w:val="0"/>
              <w:kinsoku/>
              <w:wordWrap/>
              <w:overflowPunct/>
              <w:topLinePunct w:val="0"/>
              <w:autoSpaceDE/>
              <w:autoSpaceDN/>
              <w:bidi w:val="0"/>
              <w:adjustRightInd/>
              <w:snapToGrid/>
              <w:spacing w:line="400" w:lineRule="exact"/>
              <w:ind w:left="0" w:leftChars="0" w:firstLine="420" w:firstLineChars="175"/>
              <w:jc w:val="left"/>
              <w:textAlignment w:val="auto"/>
              <w:rPr>
                <w:rFonts w:hint="default"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③拟派团队中注册会计师具备破产审计业绩的，每1个得0.5分，最高不超过5分。（提供显示二维码的审计报告首页和注册师签字盖章页）</w:t>
            </w:r>
          </w:p>
        </w:tc>
        <w:tc>
          <w:tcPr>
            <w:tcW w:w="829" w:type="dxa"/>
            <w:vAlign w:val="center"/>
          </w:tcPr>
          <w:p w14:paraId="5F55D879">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default"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20分</w:t>
            </w:r>
          </w:p>
        </w:tc>
      </w:tr>
      <w:tr w14:paraId="625B4F5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6" w:hRule="atLeast"/>
          <w:jc w:val="center"/>
        </w:trPr>
        <w:tc>
          <w:tcPr>
            <w:tcW w:w="687" w:type="dxa"/>
            <w:vAlign w:val="center"/>
          </w:tcPr>
          <w:p w14:paraId="089DA188">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default"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2</w:t>
            </w:r>
          </w:p>
        </w:tc>
        <w:tc>
          <w:tcPr>
            <w:tcW w:w="1123" w:type="dxa"/>
            <w:vAlign w:val="center"/>
          </w:tcPr>
          <w:p w14:paraId="33F9CC13">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业绩</w:t>
            </w:r>
          </w:p>
        </w:tc>
        <w:tc>
          <w:tcPr>
            <w:tcW w:w="7779" w:type="dxa"/>
            <w:vAlign w:val="center"/>
          </w:tcPr>
          <w:p w14:paraId="69BC943D">
            <w:pPr>
              <w:keepNext w:val="0"/>
              <w:keepLines w:val="0"/>
              <w:pageBreakBefore w:val="0"/>
              <w:widowControl w:val="0"/>
              <w:kinsoku/>
              <w:wordWrap/>
              <w:overflowPunct/>
              <w:topLinePunct w:val="0"/>
              <w:autoSpaceDE/>
              <w:autoSpaceDN/>
              <w:bidi w:val="0"/>
              <w:adjustRightInd/>
              <w:snapToGrid/>
              <w:spacing w:line="400" w:lineRule="exact"/>
              <w:ind w:left="0" w:leftChars="0" w:firstLine="420" w:firstLineChars="175"/>
              <w:jc w:val="left"/>
              <w:textAlignment w:val="auto"/>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机构业绩（25分）：①2023年以来承办过企业破产审计项目，1个得1分，最高10分。</w:t>
            </w:r>
          </w:p>
          <w:p w14:paraId="3D6002B6">
            <w:pPr>
              <w:keepNext w:val="0"/>
              <w:keepLines w:val="0"/>
              <w:pageBreakBefore w:val="0"/>
              <w:widowControl w:val="0"/>
              <w:kinsoku/>
              <w:wordWrap/>
              <w:overflowPunct/>
              <w:topLinePunct w:val="0"/>
              <w:autoSpaceDE/>
              <w:autoSpaceDN/>
              <w:bidi w:val="0"/>
              <w:adjustRightInd/>
              <w:snapToGrid/>
              <w:spacing w:line="400" w:lineRule="exact"/>
              <w:ind w:left="0" w:leftChars="0" w:firstLine="420" w:firstLineChars="175"/>
              <w:jc w:val="left"/>
              <w:textAlignment w:val="auto"/>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②2023年以来承办过与项目公司相同或类似性质的公司审计、评估项目，1个加2分，最高10分。</w:t>
            </w:r>
          </w:p>
          <w:p w14:paraId="0ABDC974">
            <w:pPr>
              <w:keepNext w:val="0"/>
              <w:keepLines w:val="0"/>
              <w:pageBreakBefore w:val="0"/>
              <w:widowControl w:val="0"/>
              <w:kinsoku/>
              <w:wordWrap/>
              <w:overflowPunct/>
              <w:topLinePunct w:val="0"/>
              <w:autoSpaceDE/>
              <w:autoSpaceDN/>
              <w:bidi w:val="0"/>
              <w:adjustRightInd/>
              <w:snapToGrid/>
              <w:spacing w:line="400" w:lineRule="exact"/>
              <w:ind w:left="0" w:leftChars="0" w:firstLine="420" w:firstLineChars="175"/>
              <w:jc w:val="left"/>
              <w:textAlignment w:val="auto"/>
              <w:rPr>
                <w:rFonts w:hint="default"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③2023年以来承办过至少1件房地产企业破产预重整/重整审计的，加5分。</w:t>
            </w:r>
          </w:p>
          <w:p w14:paraId="456C5A07">
            <w:pPr>
              <w:keepNext w:val="0"/>
              <w:keepLines w:val="0"/>
              <w:pageBreakBefore w:val="0"/>
              <w:widowControl w:val="0"/>
              <w:kinsoku/>
              <w:wordWrap/>
              <w:overflowPunct/>
              <w:topLinePunct w:val="0"/>
              <w:autoSpaceDE/>
              <w:autoSpaceDN/>
              <w:bidi w:val="0"/>
              <w:adjustRightInd/>
              <w:snapToGrid/>
              <w:spacing w:line="400" w:lineRule="exact"/>
              <w:ind w:left="0" w:leftChars="0" w:firstLine="420" w:firstLineChars="175"/>
              <w:jc w:val="left"/>
              <w:textAlignment w:val="auto"/>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（上述得分的项目不重复计分，应提供合同复印件和显示二维码的审计报告封面或报备首页的复印件，原件备查）</w:t>
            </w:r>
          </w:p>
          <w:p w14:paraId="79652B3B">
            <w:pPr>
              <w:keepNext w:val="0"/>
              <w:keepLines w:val="0"/>
              <w:pageBreakBefore w:val="0"/>
              <w:widowControl w:val="0"/>
              <w:kinsoku/>
              <w:wordWrap/>
              <w:overflowPunct/>
              <w:topLinePunct w:val="0"/>
              <w:autoSpaceDE/>
              <w:autoSpaceDN/>
              <w:bidi w:val="0"/>
              <w:adjustRightInd/>
              <w:snapToGrid/>
              <w:spacing w:line="400" w:lineRule="exact"/>
              <w:ind w:left="0" w:leftChars="0" w:firstLine="420" w:firstLineChars="175"/>
              <w:jc w:val="left"/>
              <w:textAlignment w:val="auto"/>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项目负责人业绩（10分）：2023年以来委派的项目负责人承办过破产预重整/重整审计项目，每1个得2.5分，最高10分。（提供显示二维码的审计报告封面或报备首页的复印件、注册师签字盖章页复印件，原件备查）</w:t>
            </w:r>
          </w:p>
        </w:tc>
        <w:tc>
          <w:tcPr>
            <w:tcW w:w="829" w:type="dxa"/>
            <w:vAlign w:val="center"/>
          </w:tcPr>
          <w:p w14:paraId="0D264389">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default"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35分</w:t>
            </w:r>
          </w:p>
        </w:tc>
      </w:tr>
      <w:tr w14:paraId="0A2738D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50" w:hRule="atLeast"/>
          <w:jc w:val="center"/>
        </w:trPr>
        <w:tc>
          <w:tcPr>
            <w:tcW w:w="687" w:type="dxa"/>
            <w:vAlign w:val="center"/>
          </w:tcPr>
          <w:p w14:paraId="7790AC62">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default"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3</w:t>
            </w:r>
          </w:p>
        </w:tc>
        <w:tc>
          <w:tcPr>
            <w:tcW w:w="1123" w:type="dxa"/>
            <w:vAlign w:val="center"/>
          </w:tcPr>
          <w:p w14:paraId="237A2C6F">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服务方案</w:t>
            </w:r>
          </w:p>
        </w:tc>
        <w:tc>
          <w:tcPr>
            <w:tcW w:w="7779" w:type="dxa"/>
            <w:vAlign w:val="center"/>
          </w:tcPr>
          <w:p w14:paraId="1AC1145C">
            <w:pPr>
              <w:keepNext w:val="0"/>
              <w:keepLines w:val="0"/>
              <w:pageBreakBefore w:val="0"/>
              <w:widowControl w:val="0"/>
              <w:kinsoku/>
              <w:wordWrap/>
              <w:overflowPunct/>
              <w:topLinePunct w:val="0"/>
              <w:autoSpaceDE/>
              <w:autoSpaceDN/>
              <w:bidi w:val="0"/>
              <w:adjustRightInd/>
              <w:snapToGrid/>
              <w:spacing w:line="400" w:lineRule="exact"/>
              <w:ind w:left="0" w:leftChars="0" w:firstLine="420" w:firstLineChars="175"/>
              <w:jc w:val="left"/>
              <w:textAlignment w:val="auto"/>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方案可行性（15分）：可行得 8-15 分，基本可行1-7分，不可行的不得分。</w:t>
            </w:r>
          </w:p>
          <w:p w14:paraId="304A2F5F">
            <w:pPr>
              <w:rPr>
                <w:rFonts w:hint="eastAsia" w:ascii="仿宋" w:hAnsi="仿宋" w:eastAsia="宋体"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方案的可行性应包含：时间安排合理，及时高效，有明确的工作计划；对项目涉及行业及审计、评估范围内的资产状况有一定的认知度；对审计、评估过程中可能面临的困难和问题有初步的认识和相应的措施。）</w:t>
            </w:r>
          </w:p>
          <w:p w14:paraId="48DC7950">
            <w:pPr>
              <w:keepNext w:val="0"/>
              <w:keepLines w:val="0"/>
              <w:pageBreakBefore w:val="0"/>
              <w:widowControl w:val="0"/>
              <w:kinsoku/>
              <w:wordWrap/>
              <w:overflowPunct/>
              <w:topLinePunct w:val="0"/>
              <w:autoSpaceDE/>
              <w:autoSpaceDN/>
              <w:bidi w:val="0"/>
              <w:adjustRightInd/>
              <w:snapToGrid/>
              <w:spacing w:line="400" w:lineRule="exact"/>
              <w:ind w:left="0" w:leftChars="0" w:firstLine="420" w:firstLineChars="175"/>
              <w:jc w:val="left"/>
              <w:textAlignment w:val="auto"/>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人员配置情况（10分）：参选人是否为本项目配置固定的人员团队，以及配备人员的人数、资历、资质情况，及委派项目人员与本项目审计、评估工作的匹配程度。合理10分；基本合理 1-5 分；不合理0分。</w:t>
            </w:r>
          </w:p>
          <w:p w14:paraId="592C66D8">
            <w:pPr>
              <w:keepNext w:val="0"/>
              <w:keepLines w:val="0"/>
              <w:pageBreakBefore w:val="0"/>
              <w:widowControl w:val="0"/>
              <w:kinsoku/>
              <w:wordWrap/>
              <w:overflowPunct/>
              <w:topLinePunct w:val="0"/>
              <w:autoSpaceDE/>
              <w:autoSpaceDN/>
              <w:bidi w:val="0"/>
              <w:adjustRightInd/>
              <w:snapToGrid/>
              <w:spacing w:line="400" w:lineRule="exact"/>
              <w:ind w:left="0" w:leftChars="0" w:firstLine="420" w:firstLineChars="175"/>
              <w:jc w:val="left"/>
              <w:textAlignment w:val="auto"/>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出具报告时间（10分）：承诺自接受委托至出具书面报告时间在30日以下得5-10分，30日-40日得1-5分，40日以上的不得分。</w:t>
            </w:r>
          </w:p>
          <w:p w14:paraId="3549576D">
            <w:pPr>
              <w:keepNext w:val="0"/>
              <w:keepLines w:val="0"/>
              <w:pageBreakBefore w:val="0"/>
              <w:widowControl w:val="0"/>
              <w:kinsoku/>
              <w:wordWrap/>
              <w:overflowPunct/>
              <w:topLinePunct w:val="0"/>
              <w:autoSpaceDE/>
              <w:autoSpaceDN/>
              <w:bidi w:val="0"/>
              <w:adjustRightInd/>
              <w:snapToGrid/>
              <w:spacing w:line="400" w:lineRule="exact"/>
              <w:ind w:left="0" w:leftChars="0" w:firstLine="420" w:firstLineChars="175"/>
              <w:jc w:val="left"/>
              <w:textAlignment w:val="auto"/>
              <w:rPr>
                <w:rFonts w:hint="default"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本项最高得分 35 分。</w:t>
            </w:r>
          </w:p>
        </w:tc>
        <w:tc>
          <w:tcPr>
            <w:tcW w:w="829" w:type="dxa"/>
            <w:vAlign w:val="center"/>
          </w:tcPr>
          <w:p w14:paraId="36A59FAF">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default"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35分</w:t>
            </w:r>
          </w:p>
        </w:tc>
      </w:tr>
      <w:tr w14:paraId="78DDA5C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205" w:hRule="atLeast"/>
          <w:jc w:val="center"/>
        </w:trPr>
        <w:tc>
          <w:tcPr>
            <w:tcW w:w="687" w:type="dxa"/>
            <w:vAlign w:val="center"/>
          </w:tcPr>
          <w:p w14:paraId="6078318F">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default"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4</w:t>
            </w:r>
          </w:p>
        </w:tc>
        <w:tc>
          <w:tcPr>
            <w:tcW w:w="1123" w:type="dxa"/>
            <w:vAlign w:val="center"/>
          </w:tcPr>
          <w:p w14:paraId="6113C2DC">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default"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报价</w:t>
            </w:r>
          </w:p>
        </w:tc>
        <w:tc>
          <w:tcPr>
            <w:tcW w:w="7779" w:type="dxa"/>
            <w:vAlign w:val="center"/>
          </w:tcPr>
          <w:p w14:paraId="7FAE14FA">
            <w:pPr>
              <w:keepNext w:val="0"/>
              <w:keepLines w:val="0"/>
              <w:pageBreakBefore w:val="0"/>
              <w:widowControl/>
              <w:suppressLineNumbers w:val="0"/>
              <w:kinsoku/>
              <w:wordWrap/>
              <w:overflowPunct/>
              <w:topLinePunct w:val="0"/>
              <w:autoSpaceDE/>
              <w:autoSpaceDN/>
              <w:bidi w:val="0"/>
              <w:adjustRightInd/>
              <w:snapToGrid/>
              <w:spacing w:line="400" w:lineRule="exact"/>
              <w:ind w:left="0" w:leftChars="0" w:firstLine="420" w:firstLineChars="175"/>
              <w:jc w:val="left"/>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参选人应充分考虑自身实力、信誉及市场情况进行自主报价，本报价应是全费用包干费报价。以有效报价中合理最低价作为基准价，得满分 10 分，投标报价得分=（基准价/投标报价）*10</w:t>
            </w:r>
          </w:p>
        </w:tc>
        <w:tc>
          <w:tcPr>
            <w:tcW w:w="829" w:type="dxa"/>
            <w:vAlign w:val="center"/>
          </w:tcPr>
          <w:p w14:paraId="26B6BA60">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default"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10分</w:t>
            </w:r>
          </w:p>
        </w:tc>
      </w:tr>
      <w:tr w14:paraId="15EA8B7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85" w:hRule="atLeast"/>
          <w:jc w:val="center"/>
        </w:trPr>
        <w:tc>
          <w:tcPr>
            <w:tcW w:w="687" w:type="dxa"/>
            <w:vAlign w:val="center"/>
          </w:tcPr>
          <w:p w14:paraId="675CBBB4">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default"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5</w:t>
            </w:r>
          </w:p>
        </w:tc>
        <w:tc>
          <w:tcPr>
            <w:tcW w:w="8902" w:type="dxa"/>
            <w:gridSpan w:val="2"/>
            <w:vAlign w:val="center"/>
          </w:tcPr>
          <w:p w14:paraId="6F857218">
            <w:pPr>
              <w:keepNext w:val="0"/>
              <w:keepLines w:val="0"/>
              <w:pageBreakBefore w:val="0"/>
              <w:widowControl/>
              <w:suppressLineNumbers w:val="0"/>
              <w:kinsoku/>
              <w:wordWrap/>
              <w:overflowPunct/>
              <w:topLinePunct w:val="0"/>
              <w:autoSpaceDE/>
              <w:autoSpaceDN/>
              <w:bidi w:val="0"/>
              <w:adjustRightInd/>
              <w:snapToGrid/>
              <w:spacing w:line="400" w:lineRule="exact"/>
              <w:ind w:left="0" w:leftChars="0" w:firstLine="420" w:firstLineChars="175"/>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满分</w:t>
            </w:r>
          </w:p>
        </w:tc>
        <w:tc>
          <w:tcPr>
            <w:tcW w:w="829" w:type="dxa"/>
            <w:vAlign w:val="center"/>
          </w:tcPr>
          <w:p w14:paraId="49CEB2F4">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default"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100分</w:t>
            </w:r>
          </w:p>
        </w:tc>
      </w:tr>
    </w:tbl>
    <w:p w14:paraId="5ED22DB7">
      <w:pPr>
        <w:rPr>
          <w:rFonts w:hint="default"/>
          <w:lang w:val="en-US" w:eastAsia="zh-CN"/>
        </w:rPr>
      </w:pPr>
    </w:p>
    <w:p w14:paraId="65DCB6A0">
      <w:pPr>
        <w:jc w:val="right"/>
        <w:rPr>
          <w:rFonts w:hint="eastAsia"/>
          <w:lang w:val="en-US" w:eastAsia="zh-CN"/>
        </w:rPr>
      </w:pPr>
    </w:p>
    <w:p w14:paraId="162F9C92">
      <w:pPr>
        <w:jc w:val="right"/>
        <w:rPr>
          <w:rFonts w:hint="eastAsia"/>
          <w:lang w:val="en-US" w:eastAsia="zh-CN"/>
        </w:rPr>
      </w:pPr>
    </w:p>
    <w:p w14:paraId="520DC15F">
      <w:pPr>
        <w:keepNext w:val="0"/>
        <w:keepLines w:val="0"/>
        <w:pageBreakBefore w:val="0"/>
        <w:widowControl w:val="0"/>
        <w:kinsoku/>
        <w:wordWrap/>
        <w:overflowPunct/>
        <w:topLinePunct w:val="0"/>
        <w:autoSpaceDE/>
        <w:autoSpaceDN/>
        <w:bidi w:val="0"/>
        <w:adjustRightInd/>
        <w:snapToGrid/>
        <w:ind w:firstLine="640" w:firstLineChars="200"/>
        <w:jc w:val="right"/>
        <w:textAlignment w:val="auto"/>
        <w:rPr>
          <w:rFonts w:hint="default" w:ascii="仿宋_GB2312" w:hAnsi="仿宋_GB2312" w:eastAsia="仿宋_GB2312" w:cs="仿宋_GB2312"/>
          <w:b w:val="0"/>
          <w:bCs w:val="0"/>
          <w:sz w:val="32"/>
          <w:szCs w:val="40"/>
          <w:lang w:val="en-US" w:eastAsia="zh-CN"/>
        </w:rPr>
      </w:pPr>
      <w:r>
        <w:rPr>
          <w:rFonts w:hint="eastAsia" w:ascii="仿宋_GB2312" w:hAnsi="仿宋_GB2312" w:eastAsia="仿宋_GB2312" w:cs="仿宋_GB2312"/>
          <w:b w:val="0"/>
          <w:bCs w:val="0"/>
          <w:sz w:val="32"/>
          <w:szCs w:val="40"/>
          <w:lang w:val="en-US" w:eastAsia="zh-CN"/>
        </w:rPr>
        <w:t>重庆国闳置业（集团）有限公司临时</w:t>
      </w:r>
      <w:bookmarkStart w:id="0" w:name="_GoBack"/>
      <w:bookmarkEnd w:id="0"/>
      <w:r>
        <w:rPr>
          <w:rFonts w:hint="eastAsia" w:ascii="仿宋_GB2312" w:hAnsi="仿宋_GB2312" w:eastAsia="仿宋_GB2312" w:cs="仿宋_GB2312"/>
          <w:b w:val="0"/>
          <w:bCs w:val="0"/>
          <w:sz w:val="32"/>
          <w:szCs w:val="40"/>
          <w:lang w:val="en-US" w:eastAsia="zh-CN"/>
        </w:rPr>
        <w:t>管理人</w:t>
      </w:r>
    </w:p>
    <w:p w14:paraId="74DD6919">
      <w:pPr>
        <w:keepNext w:val="0"/>
        <w:keepLines w:val="0"/>
        <w:pageBreakBefore w:val="0"/>
        <w:widowControl w:val="0"/>
        <w:kinsoku/>
        <w:wordWrap/>
        <w:overflowPunct/>
        <w:topLinePunct w:val="0"/>
        <w:autoSpaceDE/>
        <w:autoSpaceDN/>
        <w:bidi w:val="0"/>
        <w:adjustRightInd/>
        <w:snapToGrid/>
        <w:ind w:firstLine="640" w:firstLineChars="200"/>
        <w:jc w:val="right"/>
        <w:textAlignment w:val="auto"/>
        <w:rPr>
          <w:rFonts w:hint="default" w:ascii="仿宋_GB2312" w:hAnsi="仿宋_GB2312" w:eastAsia="仿宋_GB2312" w:cs="仿宋_GB2312"/>
          <w:b w:val="0"/>
          <w:bCs w:val="0"/>
          <w:sz w:val="32"/>
          <w:szCs w:val="40"/>
          <w:lang w:val="en-US" w:eastAsia="zh-CN"/>
        </w:rPr>
      </w:pPr>
      <w:r>
        <w:rPr>
          <w:rFonts w:hint="eastAsia" w:ascii="仿宋_GB2312" w:hAnsi="仿宋_GB2312" w:eastAsia="仿宋_GB2312" w:cs="仿宋_GB2312"/>
          <w:b w:val="0"/>
          <w:bCs w:val="0"/>
          <w:sz w:val="32"/>
          <w:szCs w:val="40"/>
          <w:lang w:val="en-US" w:eastAsia="zh-CN"/>
        </w:rPr>
        <w:t>二〇二六年十月二十九日</w:t>
      </w:r>
    </w:p>
    <w:sectPr>
      <w:footerReference r:id="rId3"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
    <w:panose1 w:val="02010609060101010101"/>
    <w:charset w:val="86"/>
    <w:family w:val="auto"/>
    <w:pitch w:val="default"/>
    <w:sig w:usb0="800002BF" w:usb1="38CF7CFA" w:usb2="00000016" w:usb3="00000000" w:csb0="00040001" w:csb1="00000000"/>
  </w:font>
  <w:font w:name="仿宋_GB2312">
    <w:altName w:val="仿宋"/>
    <w:panose1 w:val="02010609030101010101"/>
    <w:charset w:val="86"/>
    <w:family w:val="auto"/>
    <w:pitch w:val="default"/>
    <w:sig w:usb0="00000000" w:usb1="00000000" w:usb2="00000000" w:usb3="00000000" w:csb0="00040000" w:csb1="00000000"/>
  </w:font>
  <w:font w:name="KSOFE44F9426">
    <w:panose1 w:val="02010609060101010101"/>
    <w:charset w:val="86"/>
    <w:family w:val="auto"/>
    <w:pitch w:val="default"/>
    <w:sig w:usb0="00000001"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385E95A">
    <w:pPr>
      <w:pStyle w:val="2"/>
    </w:pPr>
  </w:p>
  <w:p w14:paraId="3399CDD6">
    <w:pPr>
      <w:pStyle w:val="2"/>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93C0733">
                          <w:pPr>
                            <w:pStyle w:val="2"/>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693C0733">
                    <w:pPr>
                      <w:pStyle w:val="2"/>
                    </w:pPr>
                    <w:r>
                      <w:fldChar w:fldCharType="begin"/>
                    </w:r>
                    <w:r>
                      <w:instrText xml:space="preserve"> PAGE  \* MERGEFORMAT </w:instrText>
                    </w:r>
                    <w:r>
                      <w:fldChar w:fldCharType="separate"/>
                    </w:r>
                    <w:r>
                      <w:t>1</w:t>
                    </w:r>
                    <w: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DFECD695"/>
    <w:rsid w:val="01174949"/>
    <w:rsid w:val="02510197"/>
    <w:rsid w:val="028B5457"/>
    <w:rsid w:val="03FD2384"/>
    <w:rsid w:val="04073203"/>
    <w:rsid w:val="06471FDD"/>
    <w:rsid w:val="06823015"/>
    <w:rsid w:val="07041C7C"/>
    <w:rsid w:val="07BC60B3"/>
    <w:rsid w:val="07E86EA8"/>
    <w:rsid w:val="082425D6"/>
    <w:rsid w:val="0A595E3B"/>
    <w:rsid w:val="0B5C5BE2"/>
    <w:rsid w:val="0B6902FF"/>
    <w:rsid w:val="0D907DC5"/>
    <w:rsid w:val="0DA90E87"/>
    <w:rsid w:val="0E63372C"/>
    <w:rsid w:val="0EA16002"/>
    <w:rsid w:val="1102722C"/>
    <w:rsid w:val="126F08F1"/>
    <w:rsid w:val="13405DEA"/>
    <w:rsid w:val="13623FB2"/>
    <w:rsid w:val="149F2FE4"/>
    <w:rsid w:val="15A563D8"/>
    <w:rsid w:val="1904457F"/>
    <w:rsid w:val="1A514D80"/>
    <w:rsid w:val="1ABC669E"/>
    <w:rsid w:val="1B2129A5"/>
    <w:rsid w:val="1BA3785E"/>
    <w:rsid w:val="1BB90E2F"/>
    <w:rsid w:val="1BBD091F"/>
    <w:rsid w:val="1D1C3424"/>
    <w:rsid w:val="1DE55F0B"/>
    <w:rsid w:val="1E917E41"/>
    <w:rsid w:val="22AC524A"/>
    <w:rsid w:val="22EE13BE"/>
    <w:rsid w:val="23360FB7"/>
    <w:rsid w:val="236E0751"/>
    <w:rsid w:val="23A45007"/>
    <w:rsid w:val="24EF141E"/>
    <w:rsid w:val="257E5BFC"/>
    <w:rsid w:val="271B299E"/>
    <w:rsid w:val="27D72D69"/>
    <w:rsid w:val="283F7127"/>
    <w:rsid w:val="29890093"/>
    <w:rsid w:val="298E38FB"/>
    <w:rsid w:val="2A44220C"/>
    <w:rsid w:val="2A7C7BF7"/>
    <w:rsid w:val="2BF043F9"/>
    <w:rsid w:val="2BF51A0F"/>
    <w:rsid w:val="2EA74B17"/>
    <w:rsid w:val="309C4B4F"/>
    <w:rsid w:val="31CF685F"/>
    <w:rsid w:val="332E1CAB"/>
    <w:rsid w:val="33B95A18"/>
    <w:rsid w:val="342B1D46"/>
    <w:rsid w:val="36401AD9"/>
    <w:rsid w:val="367C4ADB"/>
    <w:rsid w:val="38814FC6"/>
    <w:rsid w:val="39EB4452"/>
    <w:rsid w:val="3A9E3272"/>
    <w:rsid w:val="3AD22223"/>
    <w:rsid w:val="3B824942"/>
    <w:rsid w:val="3B984165"/>
    <w:rsid w:val="3C1C4D96"/>
    <w:rsid w:val="3D2A5291"/>
    <w:rsid w:val="3E5A1BA6"/>
    <w:rsid w:val="3F03223E"/>
    <w:rsid w:val="3F0D09C6"/>
    <w:rsid w:val="3F454604"/>
    <w:rsid w:val="408F1FDB"/>
    <w:rsid w:val="40F57964"/>
    <w:rsid w:val="427A6373"/>
    <w:rsid w:val="42FC322C"/>
    <w:rsid w:val="43727992"/>
    <w:rsid w:val="44EB79FC"/>
    <w:rsid w:val="4565330A"/>
    <w:rsid w:val="45E06E35"/>
    <w:rsid w:val="45E52835"/>
    <w:rsid w:val="4614088C"/>
    <w:rsid w:val="4860425D"/>
    <w:rsid w:val="48FB5D34"/>
    <w:rsid w:val="48FD385A"/>
    <w:rsid w:val="49227764"/>
    <w:rsid w:val="49441489"/>
    <w:rsid w:val="495411A7"/>
    <w:rsid w:val="4B4B6AFE"/>
    <w:rsid w:val="4C417F01"/>
    <w:rsid w:val="4D2515D1"/>
    <w:rsid w:val="4DA16EA9"/>
    <w:rsid w:val="4E810A89"/>
    <w:rsid w:val="50A13664"/>
    <w:rsid w:val="50C730CB"/>
    <w:rsid w:val="53590226"/>
    <w:rsid w:val="536C7F5A"/>
    <w:rsid w:val="543A0058"/>
    <w:rsid w:val="54A86D6F"/>
    <w:rsid w:val="55D3606E"/>
    <w:rsid w:val="596D4A2C"/>
    <w:rsid w:val="598C4EB2"/>
    <w:rsid w:val="5A511C57"/>
    <w:rsid w:val="5B8B2F47"/>
    <w:rsid w:val="5CAC13C7"/>
    <w:rsid w:val="5F140D5E"/>
    <w:rsid w:val="5F2E07B9"/>
    <w:rsid w:val="5F49114F"/>
    <w:rsid w:val="60F82E2D"/>
    <w:rsid w:val="61204131"/>
    <w:rsid w:val="619E1C26"/>
    <w:rsid w:val="63AB4186"/>
    <w:rsid w:val="63D00091"/>
    <w:rsid w:val="648844C8"/>
    <w:rsid w:val="64BE25DF"/>
    <w:rsid w:val="659A6BA8"/>
    <w:rsid w:val="66A6332B"/>
    <w:rsid w:val="66CD6B09"/>
    <w:rsid w:val="66FE3167"/>
    <w:rsid w:val="678278F4"/>
    <w:rsid w:val="67CE2B39"/>
    <w:rsid w:val="6937082E"/>
    <w:rsid w:val="69F94448"/>
    <w:rsid w:val="6A102F95"/>
    <w:rsid w:val="6C30791F"/>
    <w:rsid w:val="6CA16A6E"/>
    <w:rsid w:val="6ED21161"/>
    <w:rsid w:val="70531E2E"/>
    <w:rsid w:val="722D66AE"/>
    <w:rsid w:val="72E27499"/>
    <w:rsid w:val="74081181"/>
    <w:rsid w:val="74331D80"/>
    <w:rsid w:val="75271ADB"/>
    <w:rsid w:val="75327732"/>
    <w:rsid w:val="759F5B15"/>
    <w:rsid w:val="77D870BC"/>
    <w:rsid w:val="781E5417"/>
    <w:rsid w:val="785726D7"/>
    <w:rsid w:val="78A23952"/>
    <w:rsid w:val="79AC0800"/>
    <w:rsid w:val="79D02741"/>
    <w:rsid w:val="7ADC6EC3"/>
    <w:rsid w:val="7C4E5B9F"/>
    <w:rsid w:val="7EBE700C"/>
    <w:rsid w:val="7ECF5AF7"/>
    <w:rsid w:val="7EDE320A"/>
    <w:rsid w:val="7FE231CE"/>
    <w:rsid w:val="DFECD69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character" w:default="1" w:styleId="5">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customStyle="1" w:styleId="6">
    <w:name w:val="Table Paragraph"/>
    <w:basedOn w:val="1"/>
    <w:qFormat/>
    <w:uiPriority w:val="1"/>
    <w:rPr>
      <w:rFonts w:ascii="仿宋" w:hAnsi="仿宋" w:eastAsia="仿宋" w:cs="仿宋"/>
      <w:lang w:val="zh-CN" w:eastAsia="zh-CN" w:bidi="zh-CN"/>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2</Pages>
  <Words>958</Words>
  <Characters>1017</Characters>
  <Lines>0</Lines>
  <Paragraphs>0</Paragraphs>
  <TotalTime>12</TotalTime>
  <ScaleCrop>false</ScaleCrop>
  <LinksUpToDate>false</LinksUpToDate>
  <CharactersWithSpaces>1027</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2025-07-04T08:31:00Z</dcterms:created>
  <dc:creator>王琴</dc:creator>
  <cp:lastModifiedBy>李飞</cp:lastModifiedBy>
  <dcterms:modified xsi:type="dcterms:W3CDTF">2026-10-28T15:52:51Z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1340CC07E5FC4053B9785DA065D34464_13</vt:lpwstr>
  </property>
  <property fmtid="{D5CDD505-2E9C-101B-9397-08002B2CF9AE}" pid="4" name="KSOTemplateDocerSaveRecord">
    <vt:lpwstr>eyJoZGlkIjoiMzEwNTM5NzYwMDRjMzkwZTVkZjY2ODkwMGIxNGU0OTUiLCJ1c2VySWQiOiI5MDI4NzYzMDIifQ==</vt:lpwstr>
  </property>
</Properties>
</file>