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74F1B0">
      <w:pPr>
        <w:spacing w:line="460" w:lineRule="exact"/>
        <w:jc w:val="center"/>
        <w:rPr>
          <w:rFonts w:ascii="仿宋" w:hAnsi="仿宋" w:eastAsia="仿宋"/>
          <w:b/>
          <w:bCs/>
          <w:sz w:val="44"/>
          <w:szCs w:val="44"/>
        </w:rPr>
      </w:pPr>
      <w:r>
        <w:rPr>
          <w:rFonts w:hint="eastAsia" w:ascii="仿宋" w:hAnsi="仿宋" w:eastAsia="仿宋"/>
          <w:b/>
          <w:bCs/>
          <w:sz w:val="44"/>
          <w:szCs w:val="44"/>
        </w:rPr>
        <w:t xml:space="preserve">南宁百利物业开发有限公司重整投资人 </w:t>
      </w:r>
    </w:p>
    <w:p w14:paraId="0368BE17">
      <w:pPr>
        <w:spacing w:line="460" w:lineRule="exact"/>
        <w:jc w:val="center"/>
        <w:rPr>
          <w:rFonts w:ascii="仿宋" w:hAnsi="仿宋" w:eastAsia="仿宋"/>
          <w:b/>
          <w:bCs/>
          <w:sz w:val="44"/>
          <w:szCs w:val="44"/>
        </w:rPr>
      </w:pPr>
      <w:r>
        <w:rPr>
          <w:rFonts w:hint="eastAsia" w:ascii="仿宋" w:hAnsi="仿宋" w:eastAsia="仿宋"/>
          <w:b/>
          <w:bCs/>
          <w:sz w:val="44"/>
          <w:szCs w:val="44"/>
          <w:lang w:val="en-US" w:eastAsia="zh-CN"/>
        </w:rPr>
        <w:t xml:space="preserve">第 二 次 </w:t>
      </w:r>
      <w:bookmarkStart w:id="1" w:name="_GoBack"/>
      <w:bookmarkEnd w:id="1"/>
      <w:r>
        <w:rPr>
          <w:rFonts w:hint="eastAsia" w:ascii="仿宋" w:hAnsi="仿宋" w:eastAsia="仿宋"/>
          <w:b/>
          <w:bCs/>
          <w:sz w:val="44"/>
          <w:szCs w:val="44"/>
        </w:rPr>
        <w:t>招 募 公 告</w:t>
      </w:r>
    </w:p>
    <w:p w14:paraId="645120F7">
      <w:pPr>
        <w:spacing w:line="460" w:lineRule="exact"/>
        <w:ind w:firstLine="883" w:firstLineChars="200"/>
        <w:jc w:val="center"/>
        <w:rPr>
          <w:rFonts w:ascii="仿宋" w:hAnsi="仿宋" w:eastAsia="仿宋"/>
          <w:b/>
          <w:bCs/>
          <w:sz w:val="44"/>
          <w:szCs w:val="44"/>
        </w:rPr>
      </w:pPr>
    </w:p>
    <w:p w14:paraId="176A8ECE">
      <w:pPr>
        <w:spacing w:line="460" w:lineRule="exact"/>
        <w:ind w:firstLine="640" w:firstLineChars="200"/>
        <w:rPr>
          <w:rFonts w:ascii="仿宋" w:hAnsi="仿宋" w:eastAsia="仿宋"/>
          <w:b/>
          <w:bCs/>
          <w:sz w:val="36"/>
          <w:szCs w:val="36"/>
        </w:rPr>
      </w:pPr>
      <w:r>
        <w:rPr>
          <w:rFonts w:hint="eastAsia" w:ascii="仿宋" w:hAnsi="仿宋" w:eastAsia="仿宋"/>
          <w:sz w:val="32"/>
          <w:szCs w:val="32"/>
        </w:rPr>
        <w:t>南宁市中级人民法院于</w:t>
      </w:r>
      <w:r>
        <w:rPr>
          <w:rFonts w:ascii="仿宋" w:hAnsi="仿宋" w:eastAsia="仿宋"/>
          <w:sz w:val="32"/>
          <w:szCs w:val="32"/>
        </w:rPr>
        <w:t>2024</w:t>
      </w:r>
      <w:r>
        <w:rPr>
          <w:rFonts w:hint="eastAsia" w:ascii="仿宋" w:hAnsi="仿宋" w:eastAsia="仿宋"/>
          <w:sz w:val="32"/>
          <w:szCs w:val="32"/>
        </w:rPr>
        <w:t>年</w:t>
      </w:r>
      <w:r>
        <w:rPr>
          <w:rFonts w:ascii="仿宋" w:hAnsi="仿宋" w:eastAsia="仿宋"/>
          <w:sz w:val="32"/>
          <w:szCs w:val="32"/>
        </w:rPr>
        <w:t>7</w:t>
      </w:r>
      <w:r>
        <w:rPr>
          <w:rFonts w:hint="eastAsia" w:ascii="仿宋" w:hAnsi="仿宋" w:eastAsia="仿宋"/>
          <w:sz w:val="32"/>
          <w:szCs w:val="32"/>
        </w:rPr>
        <w:t>月</w:t>
      </w:r>
      <w:r>
        <w:rPr>
          <w:rFonts w:ascii="仿宋" w:hAnsi="仿宋" w:eastAsia="仿宋"/>
          <w:sz w:val="32"/>
          <w:szCs w:val="32"/>
        </w:rPr>
        <w:t>29</w:t>
      </w:r>
      <w:r>
        <w:rPr>
          <w:rFonts w:hint="eastAsia" w:ascii="仿宋" w:hAnsi="仿宋" w:eastAsia="仿宋"/>
          <w:sz w:val="32"/>
          <w:szCs w:val="32"/>
        </w:rPr>
        <w:t>日裁定受理南宁百利物业开发有限公司（简称“百利公司”）破产重整一案，并于202</w:t>
      </w:r>
      <w:r>
        <w:rPr>
          <w:rFonts w:ascii="仿宋" w:hAnsi="仿宋" w:eastAsia="仿宋"/>
          <w:sz w:val="32"/>
          <w:szCs w:val="32"/>
        </w:rPr>
        <w:t>4</w:t>
      </w:r>
      <w:r>
        <w:rPr>
          <w:rFonts w:hint="eastAsia" w:ascii="仿宋" w:hAnsi="仿宋" w:eastAsia="仿宋"/>
          <w:sz w:val="32"/>
          <w:szCs w:val="32"/>
        </w:rPr>
        <w:t>年9月</w:t>
      </w:r>
      <w:r>
        <w:rPr>
          <w:rFonts w:ascii="仿宋" w:hAnsi="仿宋" w:eastAsia="仿宋"/>
          <w:sz w:val="32"/>
          <w:szCs w:val="32"/>
        </w:rPr>
        <w:t>27</w:t>
      </w:r>
      <w:r>
        <w:rPr>
          <w:rFonts w:hint="eastAsia" w:ascii="仿宋" w:hAnsi="仿宋" w:eastAsia="仿宋"/>
          <w:sz w:val="32"/>
          <w:szCs w:val="32"/>
        </w:rPr>
        <w:t>日指定广西新成玺破产清算有限公司担任南宁百利物业开发公司管理人（简称“管理人”</w:t>
      </w:r>
      <w:r>
        <w:rPr>
          <w:rFonts w:ascii="仿宋" w:hAnsi="仿宋" w:eastAsia="仿宋"/>
          <w:sz w:val="32"/>
          <w:szCs w:val="32"/>
        </w:rPr>
        <w:t>）</w:t>
      </w:r>
      <w:r>
        <w:rPr>
          <w:rFonts w:hint="eastAsia" w:ascii="仿宋" w:hAnsi="仿宋" w:eastAsia="仿宋"/>
          <w:sz w:val="32"/>
          <w:szCs w:val="32"/>
        </w:rPr>
        <w:t>。为实现债务人财产价值最大化，维护全体债权人合法权益，管理人现依据《中华人民共和国企业破产法》及相关法律规定，面向社会公开招募重整投资人。兹将有关事项公告如下：</w:t>
      </w:r>
    </w:p>
    <w:p w14:paraId="6DF53DF7">
      <w:pPr>
        <w:spacing w:line="460" w:lineRule="exact"/>
        <w:ind w:firstLine="723" w:firstLineChars="200"/>
        <w:jc w:val="center"/>
        <w:rPr>
          <w:rFonts w:ascii="仿宋" w:hAnsi="仿宋" w:eastAsia="仿宋"/>
          <w:b/>
          <w:bCs/>
          <w:sz w:val="36"/>
          <w:szCs w:val="36"/>
        </w:rPr>
      </w:pPr>
      <w:r>
        <w:rPr>
          <w:rFonts w:hint="eastAsia" w:ascii="仿宋" w:hAnsi="仿宋" w:eastAsia="仿宋"/>
          <w:b/>
          <w:bCs/>
          <w:sz w:val="36"/>
          <w:szCs w:val="36"/>
        </w:rPr>
        <w:t>公 告 须 知</w:t>
      </w:r>
    </w:p>
    <w:p w14:paraId="7457115B">
      <w:pPr>
        <w:spacing w:line="460" w:lineRule="exact"/>
        <w:ind w:firstLine="640" w:firstLineChars="200"/>
        <w:rPr>
          <w:rFonts w:ascii="仿宋" w:hAnsi="仿宋" w:eastAsia="仿宋"/>
          <w:sz w:val="32"/>
          <w:szCs w:val="32"/>
        </w:rPr>
      </w:pPr>
      <w:r>
        <w:rPr>
          <w:rFonts w:hint="eastAsia" w:ascii="仿宋" w:hAnsi="仿宋" w:eastAsia="仿宋"/>
          <w:sz w:val="32"/>
          <w:szCs w:val="32"/>
        </w:rPr>
        <w:t>1、本次招募以公开邀请、竞价方式进行，法院全程监督。本公告对全体意向重整投资人平等适用，具有同等法律效力。</w:t>
      </w:r>
    </w:p>
    <w:p w14:paraId="4B41CE2A">
      <w:pPr>
        <w:spacing w:line="460" w:lineRule="exact"/>
        <w:ind w:firstLine="640" w:firstLineChars="200"/>
        <w:rPr>
          <w:rFonts w:ascii="仿宋" w:hAnsi="仿宋" w:eastAsia="仿宋"/>
          <w:sz w:val="32"/>
          <w:szCs w:val="32"/>
        </w:rPr>
      </w:pPr>
      <w:r>
        <w:rPr>
          <w:rFonts w:hint="eastAsia" w:ascii="仿宋" w:hAnsi="仿宋" w:eastAsia="仿宋"/>
          <w:sz w:val="32"/>
          <w:szCs w:val="32"/>
        </w:rPr>
        <w:t>2、意向重整投资人应认真细致地阅读本公告，按照本公告规定的条件、时间向管理人办理报名手续及提交相关文件资料。</w:t>
      </w:r>
    </w:p>
    <w:p w14:paraId="368EEFB5">
      <w:pPr>
        <w:spacing w:line="460" w:lineRule="exact"/>
        <w:ind w:firstLine="640" w:firstLineChars="200"/>
        <w:rPr>
          <w:rFonts w:ascii="仿宋" w:hAnsi="仿宋" w:eastAsia="仿宋"/>
          <w:sz w:val="32"/>
          <w:szCs w:val="32"/>
        </w:rPr>
      </w:pPr>
      <w:r>
        <w:rPr>
          <w:rFonts w:hint="eastAsia" w:ascii="仿宋" w:hAnsi="仿宋" w:eastAsia="仿宋"/>
          <w:sz w:val="32"/>
          <w:szCs w:val="32"/>
        </w:rPr>
        <w:t>3、本招募公告中所披露信息均为阶段性调查所得数据，仅供意向重整投资人投资参考，不构成管理人对意向重整投资人的承诺或保证，不作为投资建议。</w:t>
      </w:r>
    </w:p>
    <w:p w14:paraId="248ED36A">
      <w:pPr>
        <w:spacing w:line="460" w:lineRule="exact"/>
        <w:ind w:firstLine="640" w:firstLineChars="200"/>
        <w:rPr>
          <w:rFonts w:ascii="仿宋" w:hAnsi="仿宋" w:eastAsia="仿宋"/>
          <w:sz w:val="32"/>
          <w:szCs w:val="32"/>
        </w:rPr>
      </w:pPr>
      <w:r>
        <w:rPr>
          <w:rFonts w:hint="eastAsia" w:ascii="仿宋" w:hAnsi="仿宋" w:eastAsia="仿宋"/>
          <w:sz w:val="32"/>
          <w:szCs w:val="32"/>
        </w:rPr>
        <w:t>4、本招募公告不能替代意向重整投资人的尽职调查，意向重整投资人除参考本公告内容外，需自行决定是否聘请专业投资顾问或法律顾问进行尽职调查、出具投资意见等。</w:t>
      </w:r>
    </w:p>
    <w:p w14:paraId="16514920">
      <w:pPr>
        <w:spacing w:line="460" w:lineRule="exact"/>
        <w:ind w:firstLine="640" w:firstLineChars="200"/>
        <w:rPr>
          <w:rFonts w:ascii="仿宋" w:hAnsi="仿宋" w:eastAsia="仿宋"/>
          <w:sz w:val="32"/>
          <w:szCs w:val="32"/>
        </w:rPr>
      </w:pPr>
      <w:r>
        <w:rPr>
          <w:rFonts w:hint="eastAsia" w:ascii="仿宋" w:hAnsi="仿宋" w:eastAsia="仿宋"/>
          <w:sz w:val="32"/>
          <w:szCs w:val="32"/>
        </w:rPr>
        <w:t>5、本项目接受单一主体或组成联合体的意向重整投资人。</w:t>
      </w:r>
    </w:p>
    <w:p w14:paraId="476F0C45">
      <w:pPr>
        <w:spacing w:line="460" w:lineRule="exact"/>
        <w:ind w:firstLine="640" w:firstLineChars="200"/>
        <w:rPr>
          <w:rFonts w:ascii="仿宋" w:hAnsi="仿宋" w:eastAsia="仿宋"/>
          <w:sz w:val="32"/>
          <w:szCs w:val="32"/>
        </w:rPr>
      </w:pPr>
      <w:r>
        <w:rPr>
          <w:rFonts w:hint="eastAsia" w:ascii="仿宋" w:hAnsi="仿宋" w:eastAsia="仿宋"/>
          <w:sz w:val="32"/>
          <w:szCs w:val="32"/>
        </w:rPr>
        <w:t>6、意向重整投资人提交报名材料即视为完全同意本公告所确定的招募条件及流程，并同意承担所有投资风险。</w:t>
      </w:r>
    </w:p>
    <w:p w14:paraId="0A367D06">
      <w:pPr>
        <w:spacing w:line="460" w:lineRule="exact"/>
        <w:ind w:firstLine="640" w:firstLineChars="200"/>
        <w:rPr>
          <w:rFonts w:ascii="仿宋" w:hAnsi="仿宋" w:eastAsia="仿宋"/>
          <w:sz w:val="32"/>
          <w:szCs w:val="32"/>
        </w:rPr>
      </w:pPr>
      <w:r>
        <w:rPr>
          <w:rFonts w:hint="eastAsia" w:ascii="仿宋" w:hAnsi="仿宋" w:eastAsia="仿宋"/>
          <w:sz w:val="32"/>
          <w:szCs w:val="32"/>
        </w:rPr>
        <w:t>7、本公告不适用《中华人民共和国招标投标法》，管理人有权根据招募进程调整招募流程和有关条件。</w:t>
      </w:r>
    </w:p>
    <w:p w14:paraId="67670D5E">
      <w:pPr>
        <w:spacing w:line="460" w:lineRule="exact"/>
        <w:ind w:firstLine="640" w:firstLineChars="200"/>
        <w:rPr>
          <w:rFonts w:ascii="仿宋" w:hAnsi="仿宋" w:eastAsia="仿宋"/>
          <w:sz w:val="32"/>
          <w:szCs w:val="32"/>
        </w:rPr>
      </w:pPr>
      <w:r>
        <w:rPr>
          <w:rFonts w:hint="eastAsia" w:ascii="仿宋" w:hAnsi="仿宋" w:eastAsia="仿宋"/>
          <w:sz w:val="32"/>
          <w:szCs w:val="32"/>
        </w:rPr>
        <w:t>8、本公告由管理人负责解释。</w:t>
      </w:r>
    </w:p>
    <w:p w14:paraId="7778C635">
      <w:pPr>
        <w:spacing w:line="460" w:lineRule="exact"/>
        <w:ind w:firstLine="640" w:firstLineChars="200"/>
        <w:rPr>
          <w:rFonts w:ascii="仿宋" w:hAnsi="仿宋" w:eastAsia="仿宋"/>
          <w:sz w:val="32"/>
          <w:szCs w:val="32"/>
        </w:rPr>
      </w:pPr>
    </w:p>
    <w:p w14:paraId="6F58D124">
      <w:pPr>
        <w:numPr>
          <w:ilvl w:val="0"/>
          <w:numId w:val="1"/>
        </w:numPr>
        <w:spacing w:line="460" w:lineRule="exact"/>
        <w:ind w:firstLine="723" w:firstLineChars="200"/>
        <w:jc w:val="center"/>
        <w:rPr>
          <w:rFonts w:ascii="仿宋" w:hAnsi="仿宋" w:eastAsia="仿宋"/>
          <w:b/>
          <w:bCs/>
          <w:sz w:val="36"/>
          <w:szCs w:val="36"/>
        </w:rPr>
      </w:pPr>
      <w:r>
        <w:rPr>
          <w:rFonts w:hint="eastAsia" w:ascii="仿宋" w:hAnsi="仿宋" w:eastAsia="仿宋"/>
          <w:b/>
          <w:bCs/>
          <w:sz w:val="36"/>
          <w:szCs w:val="36"/>
        </w:rPr>
        <w:t>百 利 公 司 概 况</w:t>
      </w:r>
    </w:p>
    <w:p w14:paraId="3D5C55E1">
      <w:pPr>
        <w:spacing w:line="4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1、工商登记信息</w:t>
      </w:r>
    </w:p>
    <w:p w14:paraId="1A575FB3">
      <w:pPr>
        <w:spacing w:line="4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公司名称：南宁百利物业开发有限公司，企业类型：有限责任公司（外商合资），统一社会信用代码：91450100619310686J，注册地址：南宁邕宁县大沙田经济技术开发区，通信地址：南宁市星光大道17号国际经贸大厦23楼A座，经营范围：成片土地开发（凭资质证经营）、物业服务（凭资质证经营）。（依法须经批准的项目，经相关部门批准后方可开展经营活动），经营期限：1994-08-04至2014-08-04。</w:t>
      </w:r>
    </w:p>
    <w:p w14:paraId="24FF0A08">
      <w:pPr>
        <w:spacing w:line="4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法定代表人：潘扬齐</w:t>
      </w:r>
    </w:p>
    <w:p w14:paraId="7C8F1A12">
      <w:pPr>
        <w:spacing w:line="460" w:lineRule="exact"/>
        <w:ind w:firstLine="640" w:firstLineChars="200"/>
        <w:rPr>
          <w:rFonts w:hint="eastAsia" w:ascii="仿宋" w:hAnsi="仿宋" w:eastAsia="仿宋"/>
          <w:color w:val="000000"/>
          <w:sz w:val="32"/>
          <w:szCs w:val="32"/>
        </w:rPr>
      </w:pPr>
      <w:r>
        <w:rPr>
          <w:rFonts w:hint="eastAsia" w:ascii="仿宋" w:hAnsi="仿宋" w:eastAsia="仿宋"/>
          <w:color w:val="auto"/>
          <w:sz w:val="32"/>
          <w:szCs w:val="32"/>
        </w:rPr>
        <w:t>注册资本210万美元，其中实缴出资147万美元；未实缴出资</w:t>
      </w:r>
      <w:r>
        <w:rPr>
          <w:rFonts w:hint="eastAsia" w:ascii="仿宋" w:hAnsi="仿宋" w:eastAsia="仿宋"/>
          <w:color w:val="auto"/>
          <w:sz w:val="32"/>
          <w:szCs w:val="32"/>
          <w:lang w:eastAsia="zh-CN"/>
        </w:rPr>
        <w:t>6</w:t>
      </w:r>
      <w:r>
        <w:rPr>
          <w:rFonts w:ascii="仿宋" w:hAnsi="仿宋" w:eastAsia="仿宋"/>
          <w:color w:val="auto"/>
          <w:sz w:val="32"/>
          <w:szCs w:val="32"/>
        </w:rPr>
        <w:t>3</w:t>
      </w:r>
      <w:r>
        <w:rPr>
          <w:rFonts w:hint="eastAsia" w:ascii="仿宋" w:hAnsi="仿宋" w:eastAsia="仿宋"/>
          <w:color w:val="auto"/>
          <w:sz w:val="32"/>
          <w:szCs w:val="32"/>
        </w:rPr>
        <w:t>万美元，其中傅文才21万美元、王振醒21万美元、丘雅超21万美元，上述未实缴的出资款项，由投资人自行承担足额缴纳义务。股东及</w:t>
      </w:r>
      <w:r>
        <w:rPr>
          <w:rFonts w:hint="eastAsia" w:ascii="仿宋" w:hAnsi="仿宋" w:eastAsia="仿宋"/>
          <w:color w:val="000000"/>
          <w:sz w:val="32"/>
          <w:szCs w:val="32"/>
        </w:rPr>
        <w:t>股权结构情况：</w:t>
      </w:r>
    </w:p>
    <w:p w14:paraId="611C7515">
      <w:pPr>
        <w:numPr>
          <w:ilvl w:val="0"/>
          <w:numId w:val="2"/>
        </w:numPr>
        <w:spacing w:line="460" w:lineRule="exact"/>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新加坡百利控股（私人）有限公司</w:t>
      </w:r>
      <w:r>
        <w:rPr>
          <w:rFonts w:hint="eastAsia" w:ascii="仿宋" w:hAnsi="仿宋" w:eastAsia="仿宋"/>
          <w:color w:val="000000"/>
          <w:sz w:val="32"/>
          <w:szCs w:val="32"/>
          <w:lang w:val="en-US" w:eastAsia="zh-CN"/>
        </w:rPr>
        <w:tab/>
      </w:r>
      <w:r>
        <w:rPr>
          <w:rFonts w:hint="eastAsia" w:ascii="仿宋" w:hAnsi="仿宋" w:eastAsia="仿宋"/>
          <w:color w:val="000000"/>
          <w:sz w:val="32"/>
          <w:szCs w:val="32"/>
          <w:lang w:val="en-US" w:eastAsia="zh-CN"/>
        </w:rPr>
        <w:t>持股50%；</w:t>
      </w:r>
    </w:p>
    <w:p w14:paraId="42967B9D">
      <w:pPr>
        <w:numPr>
          <w:ilvl w:val="0"/>
          <w:numId w:val="2"/>
        </w:numPr>
        <w:spacing w:line="460" w:lineRule="exact"/>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卓清枝持股10%；</w:t>
      </w:r>
    </w:p>
    <w:p w14:paraId="06A140BD">
      <w:pPr>
        <w:numPr>
          <w:ilvl w:val="0"/>
          <w:numId w:val="2"/>
        </w:numPr>
        <w:spacing w:line="460" w:lineRule="exact"/>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廖振福持股10%；</w:t>
      </w:r>
    </w:p>
    <w:p w14:paraId="195D4E39">
      <w:pPr>
        <w:numPr>
          <w:ilvl w:val="0"/>
          <w:numId w:val="2"/>
        </w:numPr>
        <w:spacing w:line="460" w:lineRule="exact"/>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傅文才持股10%；</w:t>
      </w:r>
    </w:p>
    <w:p w14:paraId="27637579">
      <w:pPr>
        <w:numPr>
          <w:ilvl w:val="0"/>
          <w:numId w:val="2"/>
        </w:numPr>
        <w:spacing w:line="460" w:lineRule="exact"/>
        <w:ind w:firstLine="640" w:firstLineChars="200"/>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邱雅超持股10%；</w:t>
      </w:r>
    </w:p>
    <w:p w14:paraId="33D56535">
      <w:pPr>
        <w:numPr>
          <w:ilvl w:val="0"/>
          <w:numId w:val="2"/>
        </w:numPr>
        <w:spacing w:line="460" w:lineRule="exact"/>
        <w:ind w:firstLine="640" w:firstLineChars="200"/>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王振醒持股10%。</w:t>
      </w:r>
    </w:p>
    <w:p w14:paraId="1C986BB0">
      <w:pPr>
        <w:numPr>
          <w:ilvl w:val="0"/>
          <w:numId w:val="3"/>
        </w:numPr>
        <w:spacing w:line="4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公司经营状况</w:t>
      </w:r>
    </w:p>
    <w:p w14:paraId="1E67F2B7">
      <w:pPr>
        <w:spacing w:line="460" w:lineRule="exact"/>
        <w:ind w:firstLine="640" w:firstLineChars="200"/>
        <w:rPr>
          <w:rFonts w:ascii="仿宋" w:hAnsi="仿宋" w:eastAsia="仿宋"/>
          <w:color w:val="000000"/>
          <w:sz w:val="32"/>
          <w:szCs w:val="32"/>
        </w:rPr>
      </w:pPr>
      <w:r>
        <w:rPr>
          <w:rFonts w:hint="eastAsia" w:ascii="仿宋" w:hAnsi="仿宋" w:eastAsia="仿宋"/>
          <w:sz w:val="32"/>
          <w:szCs w:val="32"/>
          <w:shd w:val="clear" w:color="auto" w:fill="FFFFFF"/>
        </w:rPr>
        <w:t>百利公司营业期限至2014年8月4日，</w:t>
      </w:r>
      <w:r>
        <w:rPr>
          <w:rFonts w:ascii="仿宋" w:hAnsi="仿宋" w:eastAsia="仿宋"/>
          <w:sz w:val="32"/>
          <w:szCs w:val="32"/>
        </w:rPr>
        <w:t>2024</w:t>
      </w:r>
      <w:r>
        <w:rPr>
          <w:rFonts w:hint="eastAsia" w:ascii="仿宋" w:hAnsi="仿宋" w:eastAsia="仿宋"/>
          <w:sz w:val="32"/>
          <w:szCs w:val="32"/>
        </w:rPr>
        <w:t>年</w:t>
      </w:r>
      <w:r>
        <w:rPr>
          <w:rFonts w:ascii="仿宋" w:hAnsi="仿宋" w:eastAsia="仿宋"/>
          <w:sz w:val="32"/>
          <w:szCs w:val="32"/>
        </w:rPr>
        <w:t>7</w:t>
      </w:r>
      <w:r>
        <w:rPr>
          <w:rFonts w:hint="eastAsia" w:ascii="仿宋" w:hAnsi="仿宋" w:eastAsia="仿宋"/>
          <w:sz w:val="32"/>
          <w:szCs w:val="32"/>
        </w:rPr>
        <w:t>月</w:t>
      </w:r>
      <w:r>
        <w:rPr>
          <w:rFonts w:ascii="仿宋" w:hAnsi="仿宋" w:eastAsia="仿宋"/>
          <w:sz w:val="32"/>
          <w:szCs w:val="32"/>
        </w:rPr>
        <w:t>29</w:t>
      </w:r>
      <w:r>
        <w:rPr>
          <w:rFonts w:hint="eastAsia" w:ascii="仿宋" w:hAnsi="仿宋" w:eastAsia="仿宋"/>
          <w:sz w:val="32"/>
          <w:szCs w:val="32"/>
        </w:rPr>
        <w:t>日南宁市中级人民法院裁定受理百利公司破产重整申请。</w:t>
      </w:r>
    </w:p>
    <w:p w14:paraId="14D71DAA">
      <w:pPr>
        <w:numPr>
          <w:ilvl w:val="0"/>
          <w:numId w:val="3"/>
        </w:numPr>
        <w:spacing w:line="460" w:lineRule="exact"/>
        <w:ind w:firstLine="640" w:firstLineChars="200"/>
        <w:rPr>
          <w:rFonts w:ascii="仿宋" w:hAnsi="仿宋" w:eastAsia="仿宋"/>
          <w:sz w:val="32"/>
          <w:szCs w:val="32"/>
        </w:rPr>
      </w:pPr>
      <w:r>
        <w:rPr>
          <w:rFonts w:hint="eastAsia" w:ascii="仿宋" w:hAnsi="仿宋" w:eastAsia="仿宋"/>
          <w:sz w:val="32"/>
          <w:szCs w:val="32"/>
        </w:rPr>
        <w:t>财务审计及资产评估已经完成，意向重整投资人尽调时可以查阅。</w:t>
      </w:r>
    </w:p>
    <w:p w14:paraId="1B99CBAA">
      <w:pPr>
        <w:spacing w:line="460" w:lineRule="exact"/>
        <w:rPr>
          <w:rFonts w:ascii="仿宋" w:hAnsi="仿宋" w:eastAsia="仿宋"/>
          <w:sz w:val="32"/>
          <w:szCs w:val="32"/>
        </w:rPr>
      </w:pPr>
    </w:p>
    <w:p w14:paraId="7627087B">
      <w:pPr>
        <w:numPr>
          <w:ilvl w:val="0"/>
          <w:numId w:val="1"/>
        </w:numPr>
        <w:spacing w:line="460" w:lineRule="exact"/>
        <w:ind w:firstLine="723" w:firstLineChars="200"/>
        <w:jc w:val="center"/>
        <w:rPr>
          <w:rFonts w:ascii="仿宋" w:hAnsi="仿宋" w:eastAsia="仿宋"/>
          <w:b/>
          <w:bCs/>
          <w:sz w:val="36"/>
          <w:szCs w:val="36"/>
        </w:rPr>
      </w:pPr>
      <w:r>
        <w:rPr>
          <w:rFonts w:hint="eastAsia" w:ascii="仿宋" w:hAnsi="仿宋" w:eastAsia="仿宋"/>
          <w:b/>
          <w:bCs/>
          <w:sz w:val="36"/>
          <w:szCs w:val="36"/>
        </w:rPr>
        <w:t>财 产 状 况</w:t>
      </w:r>
    </w:p>
    <w:p w14:paraId="527D3AB6">
      <w:pPr>
        <w:spacing w:line="460" w:lineRule="exact"/>
        <w:rPr>
          <w:rFonts w:ascii="仿宋" w:hAnsi="仿宋" w:eastAsia="仿宋"/>
          <w:b/>
          <w:bCs/>
          <w:sz w:val="36"/>
          <w:szCs w:val="36"/>
        </w:rPr>
      </w:pPr>
    </w:p>
    <w:p w14:paraId="294244D7">
      <w:pPr>
        <w:spacing w:line="460" w:lineRule="exact"/>
        <w:ind w:firstLine="640" w:firstLineChars="200"/>
        <w:rPr>
          <w:rFonts w:ascii="仿宋" w:hAnsi="仿宋" w:eastAsia="仿宋"/>
          <w:color w:val="000000"/>
          <w:sz w:val="32"/>
          <w:szCs w:val="32"/>
          <w:shd w:val="clear" w:color="auto" w:fill="FFFFFF"/>
        </w:rPr>
      </w:pPr>
      <w:r>
        <w:rPr>
          <w:rFonts w:hint="eastAsia" w:ascii="仿宋" w:hAnsi="仿宋" w:eastAsia="仿宋"/>
          <w:color w:val="000000"/>
          <w:sz w:val="32"/>
          <w:szCs w:val="32"/>
          <w:shd w:val="clear" w:color="auto" w:fill="FFFFFF"/>
        </w:rPr>
        <w:t>1、房屋一套，位于星光大道17号国际经贸大厦23楼A座，面积185.44平方，产权证号：邕房权证字第02334273号；</w:t>
      </w:r>
    </w:p>
    <w:p w14:paraId="6E57B515">
      <w:pPr>
        <w:spacing w:line="460" w:lineRule="exact"/>
        <w:ind w:firstLine="640" w:firstLineChars="200"/>
        <w:rPr>
          <w:rFonts w:ascii="仿宋" w:hAnsi="仿宋" w:eastAsia="仿宋"/>
          <w:color w:val="000000"/>
          <w:sz w:val="32"/>
          <w:szCs w:val="32"/>
          <w:shd w:val="clear" w:color="auto" w:fill="FFFFFF"/>
        </w:rPr>
      </w:pPr>
      <w:r>
        <w:rPr>
          <w:rFonts w:hint="eastAsia" w:ascii="仿宋" w:hAnsi="仿宋" w:eastAsia="仿宋"/>
          <w:color w:val="000000"/>
          <w:sz w:val="32"/>
          <w:szCs w:val="32"/>
          <w:shd w:val="clear" w:color="auto" w:fill="FFFFFF"/>
        </w:rPr>
        <w:t>2、百利新城一期杂物间127间，合计面积2077.6平方米；</w:t>
      </w:r>
    </w:p>
    <w:p w14:paraId="35CAE3AF">
      <w:pPr>
        <w:spacing w:line="460" w:lineRule="exact"/>
        <w:ind w:firstLine="640" w:firstLineChars="200"/>
        <w:rPr>
          <w:rFonts w:ascii="仿宋" w:hAnsi="仿宋" w:eastAsia="仿宋"/>
          <w:color w:val="000000"/>
          <w:sz w:val="32"/>
          <w:szCs w:val="32"/>
          <w:shd w:val="clear" w:color="auto" w:fill="FFFFFF"/>
        </w:rPr>
      </w:pPr>
      <w:r>
        <w:rPr>
          <w:rFonts w:hint="eastAsia" w:ascii="仿宋" w:hAnsi="仿宋" w:eastAsia="仿宋"/>
          <w:color w:val="000000"/>
          <w:sz w:val="32"/>
          <w:szCs w:val="32"/>
          <w:shd w:val="clear" w:color="auto" w:fill="FFFFFF"/>
        </w:rPr>
        <w:t>3、地块</w:t>
      </w:r>
      <w:r>
        <w:rPr>
          <w:rFonts w:hint="eastAsia" w:ascii="仿宋" w:hAnsi="仿宋" w:eastAsia="仿宋"/>
          <w:color w:val="000000"/>
          <w:sz w:val="32"/>
          <w:szCs w:val="32"/>
          <w:shd w:val="clear" w:color="auto" w:fill="FFFFFF"/>
          <w:lang w:eastAsia="zh-Hans"/>
        </w:rPr>
        <w:t>一</w:t>
      </w:r>
      <w:r>
        <w:rPr>
          <w:rFonts w:ascii="仿宋" w:hAnsi="仿宋" w:eastAsia="仿宋"/>
          <w:color w:val="000000"/>
          <w:sz w:val="32"/>
          <w:szCs w:val="32"/>
          <w:shd w:val="clear" w:color="auto" w:fill="FFFFFF"/>
        </w:rPr>
        <w:t>：</w:t>
      </w:r>
      <w:r>
        <w:rPr>
          <w:rFonts w:hint="eastAsia" w:ascii="仿宋" w:hAnsi="仿宋" w:eastAsia="仿宋"/>
          <w:color w:val="000000"/>
          <w:sz w:val="32"/>
          <w:szCs w:val="32"/>
          <w:shd w:val="clear" w:color="auto" w:fill="FFFFFF"/>
        </w:rPr>
        <w:t>南宁国用（2005）第4344221号土地，宗地号50010002，面积41219.8平方，位于南宁市大沙田开发区第九小区。扣除一期已经建设销售的土地面积28.8亩，剩余约32亩城镇混合住宅用地。</w:t>
      </w:r>
    </w:p>
    <w:p w14:paraId="438D908F">
      <w:pPr>
        <w:spacing w:line="460" w:lineRule="exact"/>
        <w:ind w:firstLine="640" w:firstLineChars="200"/>
        <w:rPr>
          <w:rFonts w:ascii="仿宋" w:hAnsi="仿宋" w:eastAsia="仿宋"/>
          <w:color w:val="000000"/>
          <w:sz w:val="32"/>
          <w:szCs w:val="32"/>
          <w:shd w:val="clear" w:color="auto" w:fill="FFFFFF"/>
        </w:rPr>
      </w:pPr>
      <w:r>
        <w:rPr>
          <w:rFonts w:ascii="仿宋" w:hAnsi="仿宋" w:eastAsia="仿宋"/>
          <w:color w:val="000000"/>
          <w:sz w:val="32"/>
          <w:szCs w:val="32"/>
          <w:shd w:val="clear" w:color="auto" w:fill="FFFFFF"/>
        </w:rPr>
        <w:t>4、地块</w:t>
      </w:r>
      <w:r>
        <w:rPr>
          <w:rFonts w:hint="eastAsia" w:ascii="仿宋" w:hAnsi="仿宋" w:eastAsia="仿宋"/>
          <w:color w:val="000000"/>
          <w:sz w:val="32"/>
          <w:szCs w:val="32"/>
          <w:shd w:val="clear" w:color="auto" w:fill="FFFFFF"/>
          <w:lang w:eastAsia="zh-Hans"/>
        </w:rPr>
        <w:t>二</w:t>
      </w:r>
      <w:r>
        <w:rPr>
          <w:rFonts w:ascii="仿宋" w:hAnsi="仿宋" w:eastAsia="仿宋"/>
          <w:color w:val="000000"/>
          <w:sz w:val="32"/>
          <w:szCs w:val="32"/>
          <w:shd w:val="clear" w:color="auto" w:fill="FFFFFF"/>
        </w:rPr>
        <w:t>：南宁国用（2005）第434422号土地，宗地号50010001，面积21846.90平方米，城镇混合住宅用地，位于南宁市大沙田开发区第九小区（银沙大道与东风北路交界处），土地面积为约32.77亩；</w:t>
      </w:r>
    </w:p>
    <w:p w14:paraId="28EF8B94">
      <w:pPr>
        <w:spacing w:line="460" w:lineRule="exact"/>
        <w:rPr>
          <w:rFonts w:ascii="仿宋" w:hAnsi="仿宋" w:eastAsia="仿宋"/>
          <w:b/>
          <w:bCs/>
          <w:color w:val="000000"/>
          <w:sz w:val="36"/>
          <w:szCs w:val="36"/>
          <w:shd w:val="clear" w:color="auto" w:fill="FFFFFF"/>
        </w:rPr>
      </w:pPr>
    </w:p>
    <w:p w14:paraId="08CA6723">
      <w:pPr>
        <w:spacing w:line="460" w:lineRule="exact"/>
        <w:ind w:firstLine="723" w:firstLineChars="200"/>
        <w:jc w:val="center"/>
        <w:rPr>
          <w:rFonts w:ascii="仿宋" w:hAnsi="仿宋" w:eastAsia="仿宋"/>
          <w:b/>
          <w:bCs/>
          <w:color w:val="000000"/>
          <w:sz w:val="36"/>
          <w:szCs w:val="36"/>
          <w:shd w:val="clear" w:color="auto" w:fill="FFFFFF"/>
        </w:rPr>
      </w:pPr>
      <w:r>
        <w:rPr>
          <w:rFonts w:hint="eastAsia" w:ascii="仿宋" w:hAnsi="仿宋" w:eastAsia="仿宋"/>
          <w:b/>
          <w:bCs/>
          <w:color w:val="000000"/>
          <w:sz w:val="36"/>
          <w:szCs w:val="36"/>
          <w:shd w:val="clear" w:color="auto" w:fill="FFFFFF"/>
        </w:rPr>
        <w:t>三、负 债 情 况</w:t>
      </w:r>
    </w:p>
    <w:p w14:paraId="57E3704C">
      <w:pPr>
        <w:spacing w:line="460" w:lineRule="exact"/>
        <w:ind w:firstLine="723" w:firstLineChars="200"/>
        <w:rPr>
          <w:rFonts w:ascii="仿宋" w:hAnsi="仿宋" w:eastAsia="仿宋"/>
          <w:b/>
          <w:bCs/>
          <w:color w:val="000000"/>
          <w:sz w:val="36"/>
          <w:szCs w:val="36"/>
          <w:shd w:val="clear" w:color="auto" w:fill="FFFFFF"/>
        </w:rPr>
      </w:pPr>
    </w:p>
    <w:p w14:paraId="4B57F17F">
      <w:pPr>
        <w:spacing w:line="480" w:lineRule="exact"/>
        <w:ind w:firstLine="640" w:firstLineChars="200"/>
        <w:rPr>
          <w:rFonts w:ascii="仿宋" w:hAnsi="仿宋" w:eastAsia="仿宋"/>
          <w:sz w:val="32"/>
          <w:szCs w:val="32"/>
        </w:rPr>
      </w:pPr>
      <w:r>
        <w:rPr>
          <w:rFonts w:hint="eastAsia" w:ascii="仿宋" w:hAnsi="仿宋" w:eastAsia="仿宋"/>
          <w:color w:val="000000"/>
          <w:sz w:val="32"/>
          <w:szCs w:val="32"/>
        </w:rPr>
        <w:t>截止本公告发布之日，</w:t>
      </w:r>
      <w:r>
        <w:rPr>
          <w:rFonts w:hint="eastAsia" w:ascii="仿宋" w:hAnsi="仿宋" w:eastAsia="仿宋"/>
          <w:sz w:val="32"/>
          <w:szCs w:val="32"/>
        </w:rPr>
        <w:t>经管理人对债权人申报的债权初审、复核以及各债权人互相核查后，管理人审查确认无异议债权金额51281104.16元。除此之外，尚有破产费用、共益债务等未最终确定。以上百利公司负债情况仅供意向投资人参考，实际破产债权情况以法院最终裁定确认为准。</w:t>
      </w:r>
    </w:p>
    <w:p w14:paraId="07D85F78">
      <w:pPr>
        <w:spacing w:line="460" w:lineRule="exact"/>
        <w:ind w:firstLine="640" w:firstLineChars="200"/>
        <w:rPr>
          <w:rFonts w:ascii="仿宋" w:hAnsi="仿宋" w:eastAsia="仿宋"/>
          <w:sz w:val="32"/>
          <w:szCs w:val="32"/>
        </w:rPr>
      </w:pPr>
      <w:r>
        <w:rPr>
          <w:rFonts w:hint="eastAsia" w:ascii="仿宋" w:hAnsi="仿宋" w:eastAsia="仿宋"/>
          <w:sz w:val="32"/>
          <w:szCs w:val="32"/>
        </w:rPr>
        <w:t>上述数据为阶段性债权申报及审查结果，意向重整投资人需充分注意并考虑不确定债务可能导致的风险。</w:t>
      </w:r>
    </w:p>
    <w:p w14:paraId="12D33944">
      <w:pPr>
        <w:spacing w:line="480" w:lineRule="exact"/>
        <w:rPr>
          <w:rFonts w:ascii="仿宋" w:hAnsi="仿宋" w:eastAsia="仿宋"/>
          <w:b/>
          <w:bCs/>
          <w:sz w:val="36"/>
          <w:szCs w:val="36"/>
        </w:rPr>
      </w:pPr>
    </w:p>
    <w:p w14:paraId="4C48A1CC">
      <w:pPr>
        <w:numPr>
          <w:ilvl w:val="0"/>
          <w:numId w:val="4"/>
        </w:numPr>
        <w:spacing w:line="480" w:lineRule="exact"/>
        <w:jc w:val="center"/>
        <w:rPr>
          <w:rFonts w:ascii="仿宋" w:hAnsi="仿宋" w:eastAsia="仿宋"/>
          <w:b/>
          <w:bCs/>
          <w:sz w:val="36"/>
          <w:szCs w:val="36"/>
          <w:lang w:eastAsia="zh-Hans"/>
        </w:rPr>
      </w:pPr>
      <w:r>
        <w:rPr>
          <w:rFonts w:hint="eastAsia" w:ascii="仿宋" w:hAnsi="仿宋" w:eastAsia="仿宋"/>
          <w:b/>
          <w:bCs/>
          <w:sz w:val="36"/>
          <w:szCs w:val="36"/>
          <w:lang w:eastAsia="zh-Hans"/>
        </w:rPr>
        <w:t>财务审计及资产评估</w:t>
      </w:r>
    </w:p>
    <w:p w14:paraId="1973DC83">
      <w:pPr>
        <w:spacing w:line="480" w:lineRule="exact"/>
        <w:rPr>
          <w:rFonts w:ascii="仿宋" w:hAnsi="仿宋" w:eastAsia="仿宋"/>
          <w:b/>
          <w:bCs/>
          <w:sz w:val="36"/>
          <w:szCs w:val="36"/>
          <w:lang w:eastAsia="zh-Hans"/>
        </w:rPr>
      </w:pPr>
    </w:p>
    <w:p w14:paraId="0CDF596C">
      <w:pPr>
        <w:spacing w:line="480" w:lineRule="exact"/>
        <w:ind w:firstLine="640" w:firstLineChars="200"/>
        <w:rPr>
          <w:rFonts w:ascii="仿宋" w:hAnsi="仿宋" w:eastAsia="仿宋"/>
          <w:sz w:val="32"/>
          <w:szCs w:val="32"/>
          <w:lang w:eastAsia="zh-Hans"/>
        </w:rPr>
      </w:pPr>
      <w:r>
        <w:rPr>
          <w:rFonts w:ascii="仿宋" w:hAnsi="仿宋" w:eastAsia="仿宋"/>
          <w:sz w:val="32"/>
          <w:szCs w:val="32"/>
          <w:lang w:eastAsia="zh-Hans"/>
        </w:rPr>
        <w:t>根据广西天旭会计师事务所有限责任公司出具的《</w:t>
      </w:r>
      <w:r>
        <w:rPr>
          <w:rFonts w:hint="eastAsia" w:ascii="仿宋" w:hAnsi="仿宋" w:eastAsia="仿宋"/>
          <w:sz w:val="32"/>
          <w:szCs w:val="32"/>
        </w:rPr>
        <w:t>南宁百利物业开发有限公司</w:t>
      </w:r>
      <w:r>
        <w:rPr>
          <w:rFonts w:ascii="仿宋" w:hAnsi="仿宋" w:eastAsia="仿宋"/>
          <w:sz w:val="32"/>
          <w:szCs w:val="32"/>
          <w:lang w:eastAsia="zh-Hans"/>
        </w:rPr>
        <w:t>审计报告》载明，截至202</w:t>
      </w:r>
      <w:r>
        <w:rPr>
          <w:rFonts w:hint="eastAsia" w:ascii="仿宋" w:hAnsi="仿宋" w:eastAsia="仿宋"/>
          <w:sz w:val="32"/>
          <w:szCs w:val="32"/>
        </w:rPr>
        <w:t>3</w:t>
      </w:r>
      <w:r>
        <w:rPr>
          <w:rFonts w:ascii="仿宋" w:hAnsi="仿宋" w:eastAsia="仿宋"/>
          <w:sz w:val="32"/>
          <w:szCs w:val="32"/>
          <w:lang w:eastAsia="zh-Hans"/>
        </w:rPr>
        <w:t>年</w:t>
      </w:r>
      <w:r>
        <w:rPr>
          <w:rFonts w:hint="eastAsia" w:ascii="仿宋" w:hAnsi="仿宋" w:eastAsia="仿宋"/>
          <w:sz w:val="32"/>
          <w:szCs w:val="32"/>
        </w:rPr>
        <w:t>7</w:t>
      </w:r>
      <w:r>
        <w:rPr>
          <w:rFonts w:ascii="仿宋" w:hAnsi="仿宋" w:eastAsia="仿宋"/>
          <w:sz w:val="32"/>
          <w:szCs w:val="32"/>
          <w:lang w:eastAsia="zh-Hans"/>
        </w:rPr>
        <w:t>月</w:t>
      </w:r>
      <w:r>
        <w:rPr>
          <w:rFonts w:hint="eastAsia" w:ascii="仿宋" w:hAnsi="仿宋" w:eastAsia="仿宋"/>
          <w:sz w:val="32"/>
          <w:szCs w:val="32"/>
        </w:rPr>
        <w:t>25</w:t>
      </w:r>
      <w:r>
        <w:rPr>
          <w:rFonts w:ascii="仿宋" w:hAnsi="仿宋" w:eastAsia="仿宋"/>
          <w:sz w:val="32"/>
          <w:szCs w:val="32"/>
          <w:lang w:eastAsia="zh-Hans"/>
        </w:rPr>
        <w:t>日</w:t>
      </w:r>
      <w:r>
        <w:rPr>
          <w:rFonts w:hint="eastAsia" w:ascii="仿宋" w:hAnsi="仿宋" w:eastAsia="仿宋"/>
          <w:sz w:val="32"/>
          <w:szCs w:val="32"/>
        </w:rPr>
        <w:t>，百利</w:t>
      </w:r>
      <w:r>
        <w:rPr>
          <w:rFonts w:ascii="仿宋" w:hAnsi="仿宋" w:eastAsia="仿宋"/>
          <w:sz w:val="32"/>
          <w:szCs w:val="32"/>
          <w:lang w:eastAsia="zh-Hans"/>
        </w:rPr>
        <w:t>公司资产清</w:t>
      </w:r>
      <w:bookmarkStart w:id="0" w:name="_Hlk152942692"/>
      <w:r>
        <w:rPr>
          <w:rFonts w:ascii="仿宋" w:hAnsi="仿宋" w:eastAsia="仿宋"/>
          <w:sz w:val="32"/>
          <w:szCs w:val="32"/>
          <w:lang w:eastAsia="zh-Hans"/>
        </w:rPr>
        <w:t>查值</w:t>
      </w:r>
      <w:bookmarkEnd w:id="0"/>
      <w:r>
        <w:rPr>
          <w:rFonts w:hint="eastAsia" w:ascii="仿宋" w:hAnsi="仿宋" w:eastAsia="仿宋"/>
          <w:sz w:val="32"/>
          <w:szCs w:val="32"/>
        </w:rPr>
        <w:t>24</w:t>
      </w:r>
      <w:r>
        <w:rPr>
          <w:rFonts w:ascii="仿宋" w:hAnsi="仿宋" w:eastAsia="仿宋"/>
          <w:sz w:val="32"/>
          <w:szCs w:val="32"/>
        </w:rPr>
        <w:t>,</w:t>
      </w:r>
      <w:r>
        <w:rPr>
          <w:rFonts w:hint="eastAsia" w:ascii="仿宋" w:hAnsi="仿宋" w:eastAsia="仿宋"/>
          <w:sz w:val="32"/>
          <w:szCs w:val="32"/>
        </w:rPr>
        <w:t>138,577.19</w:t>
      </w:r>
      <w:r>
        <w:rPr>
          <w:rFonts w:ascii="仿宋" w:hAnsi="仿宋" w:eastAsia="仿宋"/>
          <w:sz w:val="32"/>
          <w:szCs w:val="32"/>
          <w:lang w:eastAsia="zh-Hans"/>
        </w:rPr>
        <w:t>元，负债清查值为</w:t>
      </w:r>
      <w:r>
        <w:rPr>
          <w:rFonts w:hint="eastAsia" w:ascii="仿宋" w:hAnsi="仿宋" w:eastAsia="仿宋"/>
          <w:sz w:val="32"/>
          <w:szCs w:val="32"/>
        </w:rPr>
        <w:t>56</w:t>
      </w:r>
      <w:r>
        <w:rPr>
          <w:rFonts w:ascii="仿宋" w:hAnsi="仿宋" w:eastAsia="仿宋"/>
          <w:sz w:val="32"/>
          <w:szCs w:val="32"/>
        </w:rPr>
        <w:t>,</w:t>
      </w:r>
      <w:r>
        <w:rPr>
          <w:rFonts w:hint="eastAsia" w:ascii="仿宋" w:hAnsi="仿宋" w:eastAsia="仿宋"/>
          <w:sz w:val="32"/>
          <w:szCs w:val="32"/>
        </w:rPr>
        <w:t>805</w:t>
      </w:r>
      <w:r>
        <w:rPr>
          <w:rFonts w:ascii="仿宋" w:hAnsi="仿宋" w:eastAsia="仿宋"/>
          <w:sz w:val="32"/>
          <w:szCs w:val="32"/>
        </w:rPr>
        <w:t>,</w:t>
      </w:r>
      <w:r>
        <w:rPr>
          <w:rFonts w:hint="eastAsia" w:ascii="仿宋" w:hAnsi="仿宋" w:eastAsia="仿宋"/>
          <w:sz w:val="32"/>
          <w:szCs w:val="32"/>
        </w:rPr>
        <w:t>661.50</w:t>
      </w:r>
      <w:r>
        <w:rPr>
          <w:rFonts w:ascii="仿宋" w:hAnsi="仿宋" w:eastAsia="仿宋"/>
          <w:sz w:val="32"/>
          <w:szCs w:val="32"/>
          <w:lang w:eastAsia="zh-Hans"/>
        </w:rPr>
        <w:t>元，</w:t>
      </w:r>
      <w:r>
        <w:rPr>
          <w:rFonts w:hint="eastAsia" w:ascii="仿宋" w:hAnsi="仿宋" w:eastAsia="仿宋"/>
          <w:sz w:val="32"/>
          <w:szCs w:val="32"/>
          <w:lang w:eastAsia="zh-Hans"/>
        </w:rPr>
        <w:t>所有者权益清查</w:t>
      </w:r>
      <w:r>
        <w:rPr>
          <w:rFonts w:hint="eastAsia" w:ascii="仿宋" w:hAnsi="仿宋" w:eastAsia="仿宋"/>
          <w:sz w:val="32"/>
          <w:szCs w:val="32"/>
        </w:rPr>
        <w:t>值-32</w:t>
      </w:r>
      <w:r>
        <w:rPr>
          <w:rFonts w:ascii="仿宋" w:hAnsi="仿宋" w:eastAsia="仿宋"/>
          <w:sz w:val="32"/>
          <w:szCs w:val="32"/>
        </w:rPr>
        <w:t>,</w:t>
      </w:r>
      <w:r>
        <w:rPr>
          <w:rFonts w:hint="eastAsia" w:ascii="仿宋" w:hAnsi="仿宋" w:eastAsia="仿宋"/>
          <w:sz w:val="32"/>
          <w:szCs w:val="32"/>
        </w:rPr>
        <w:t>667,084.31</w:t>
      </w:r>
      <w:r>
        <w:rPr>
          <w:rFonts w:hint="eastAsia" w:ascii="仿宋" w:hAnsi="仿宋" w:eastAsia="仿宋"/>
          <w:sz w:val="32"/>
          <w:szCs w:val="32"/>
          <w:lang w:eastAsia="zh-Hans"/>
        </w:rPr>
        <w:t>元</w:t>
      </w:r>
      <w:r>
        <w:rPr>
          <w:rFonts w:ascii="仿宋" w:hAnsi="仿宋" w:eastAsia="仿宋"/>
          <w:sz w:val="32"/>
          <w:szCs w:val="32"/>
          <w:lang w:eastAsia="zh-Hans"/>
        </w:rPr>
        <w:t>。</w:t>
      </w:r>
    </w:p>
    <w:p w14:paraId="6F7630D0">
      <w:pPr>
        <w:spacing w:line="480" w:lineRule="exact"/>
        <w:ind w:firstLine="640" w:firstLineChars="200"/>
        <w:rPr>
          <w:rFonts w:ascii="仿宋" w:hAnsi="仿宋" w:eastAsia="仿宋"/>
          <w:sz w:val="32"/>
          <w:szCs w:val="32"/>
        </w:rPr>
      </w:pPr>
      <w:r>
        <w:rPr>
          <w:rFonts w:ascii="仿宋" w:hAnsi="仿宋" w:eastAsia="仿宋"/>
          <w:sz w:val="32"/>
          <w:szCs w:val="32"/>
          <w:lang w:eastAsia="zh-Hans"/>
        </w:rPr>
        <w:t>根据广西中天银房地产土地资产评估有限责任公司出具的《</w:t>
      </w:r>
      <w:r>
        <w:rPr>
          <w:rFonts w:hint="eastAsia" w:ascii="仿宋" w:hAnsi="仿宋" w:eastAsia="仿宋"/>
          <w:sz w:val="32"/>
          <w:szCs w:val="32"/>
        </w:rPr>
        <w:t>南宁百利物业开发有限公司</w:t>
      </w:r>
      <w:r>
        <w:rPr>
          <w:rFonts w:ascii="仿宋" w:hAnsi="仿宋" w:eastAsia="仿宋"/>
          <w:sz w:val="32"/>
          <w:szCs w:val="32"/>
          <w:lang w:eastAsia="zh-Hans"/>
        </w:rPr>
        <w:t>评估报告》载明，</w:t>
      </w:r>
      <w:r>
        <w:rPr>
          <w:rFonts w:hint="eastAsia" w:ascii="仿宋" w:hAnsi="仿宋" w:eastAsia="仿宋"/>
          <w:sz w:val="32"/>
          <w:szCs w:val="32"/>
        </w:rPr>
        <w:t>南宁百利物业开发有限公司</w:t>
      </w:r>
      <w:r>
        <w:rPr>
          <w:rFonts w:ascii="仿宋" w:hAnsi="仿宋" w:eastAsia="仿宋"/>
          <w:sz w:val="32"/>
          <w:szCs w:val="32"/>
          <w:lang w:eastAsia="zh-Hans"/>
        </w:rPr>
        <w:t>管理人拟进行</w:t>
      </w:r>
      <w:r>
        <w:rPr>
          <w:rFonts w:hint="eastAsia" w:ascii="仿宋" w:hAnsi="仿宋" w:eastAsia="仿宋"/>
          <w:sz w:val="32"/>
          <w:szCs w:val="32"/>
        </w:rPr>
        <w:t>强制清算的条件下，</w:t>
      </w:r>
      <w:r>
        <w:rPr>
          <w:rFonts w:ascii="仿宋" w:hAnsi="仿宋" w:eastAsia="仿宋"/>
          <w:sz w:val="32"/>
          <w:szCs w:val="32"/>
          <w:lang w:eastAsia="zh-Hans"/>
        </w:rPr>
        <w:t>所涉及的全部资产在评估基准日202</w:t>
      </w:r>
      <w:r>
        <w:rPr>
          <w:rFonts w:hint="eastAsia" w:ascii="仿宋" w:hAnsi="仿宋" w:eastAsia="仿宋"/>
          <w:sz w:val="32"/>
          <w:szCs w:val="32"/>
        </w:rPr>
        <w:t>3</w:t>
      </w:r>
      <w:r>
        <w:rPr>
          <w:rFonts w:ascii="仿宋" w:hAnsi="仿宋" w:eastAsia="仿宋"/>
          <w:sz w:val="32"/>
          <w:szCs w:val="32"/>
          <w:lang w:eastAsia="zh-Hans"/>
        </w:rPr>
        <w:t>年</w:t>
      </w:r>
      <w:r>
        <w:rPr>
          <w:rFonts w:hint="eastAsia" w:ascii="仿宋" w:hAnsi="仿宋" w:eastAsia="仿宋"/>
          <w:sz w:val="32"/>
          <w:szCs w:val="32"/>
        </w:rPr>
        <w:t>7</w:t>
      </w:r>
      <w:r>
        <w:rPr>
          <w:rFonts w:ascii="仿宋" w:hAnsi="仿宋" w:eastAsia="仿宋"/>
          <w:sz w:val="32"/>
          <w:szCs w:val="32"/>
          <w:lang w:eastAsia="zh-Hans"/>
        </w:rPr>
        <w:t>月</w:t>
      </w:r>
      <w:r>
        <w:rPr>
          <w:rFonts w:hint="eastAsia" w:ascii="仿宋" w:hAnsi="仿宋" w:eastAsia="仿宋"/>
          <w:sz w:val="32"/>
          <w:szCs w:val="32"/>
        </w:rPr>
        <w:t>25</w:t>
      </w:r>
      <w:r>
        <w:rPr>
          <w:rFonts w:ascii="仿宋" w:hAnsi="仿宋" w:eastAsia="仿宋"/>
          <w:sz w:val="32"/>
          <w:szCs w:val="32"/>
          <w:lang w:eastAsia="zh-Hans"/>
        </w:rPr>
        <w:t>日所表现的</w:t>
      </w:r>
      <w:r>
        <w:rPr>
          <w:rFonts w:hint="eastAsia" w:ascii="仿宋" w:hAnsi="仿宋" w:eastAsia="仿宋"/>
          <w:sz w:val="32"/>
          <w:szCs w:val="32"/>
        </w:rPr>
        <w:t>评估清算</w:t>
      </w:r>
      <w:r>
        <w:rPr>
          <w:rFonts w:ascii="仿宋" w:hAnsi="仿宋" w:eastAsia="仿宋"/>
          <w:sz w:val="32"/>
          <w:szCs w:val="32"/>
          <w:lang w:eastAsia="zh-Hans"/>
        </w:rPr>
        <w:t>价值为</w:t>
      </w:r>
      <w:r>
        <w:rPr>
          <w:rFonts w:hint="eastAsia" w:ascii="仿宋" w:hAnsi="仿宋" w:eastAsia="仿宋"/>
          <w:sz w:val="32"/>
          <w:szCs w:val="32"/>
        </w:rPr>
        <w:t>197</w:t>
      </w:r>
      <w:r>
        <w:rPr>
          <w:rFonts w:ascii="仿宋" w:hAnsi="仿宋" w:eastAsia="仿宋"/>
          <w:sz w:val="32"/>
          <w:szCs w:val="32"/>
        </w:rPr>
        <w:t>,</w:t>
      </w:r>
      <w:r>
        <w:rPr>
          <w:rFonts w:hint="eastAsia" w:ascii="仿宋" w:hAnsi="仿宋" w:eastAsia="仿宋"/>
          <w:sz w:val="32"/>
          <w:szCs w:val="32"/>
        </w:rPr>
        <w:t>808</w:t>
      </w:r>
      <w:r>
        <w:rPr>
          <w:rFonts w:ascii="仿宋" w:hAnsi="仿宋" w:eastAsia="仿宋"/>
          <w:sz w:val="32"/>
          <w:szCs w:val="32"/>
        </w:rPr>
        <w:t>,</w:t>
      </w:r>
      <w:r>
        <w:rPr>
          <w:rFonts w:hint="eastAsia" w:ascii="仿宋" w:hAnsi="仿宋" w:eastAsia="仿宋"/>
          <w:sz w:val="32"/>
          <w:szCs w:val="32"/>
        </w:rPr>
        <w:t>935.13</w:t>
      </w:r>
      <w:r>
        <w:rPr>
          <w:rFonts w:ascii="仿宋" w:hAnsi="仿宋" w:eastAsia="仿宋"/>
          <w:sz w:val="32"/>
          <w:szCs w:val="32"/>
          <w:lang w:eastAsia="zh-Hans"/>
        </w:rPr>
        <w:t>元</w:t>
      </w:r>
      <w:r>
        <w:rPr>
          <w:rFonts w:hint="eastAsia" w:ascii="仿宋" w:hAnsi="仿宋" w:eastAsia="仿宋"/>
          <w:sz w:val="32"/>
          <w:szCs w:val="32"/>
        </w:rPr>
        <w:t>。</w:t>
      </w:r>
    </w:p>
    <w:p w14:paraId="243B9EB0">
      <w:pPr>
        <w:spacing w:line="460" w:lineRule="exact"/>
        <w:rPr>
          <w:rFonts w:ascii="仿宋" w:hAnsi="仿宋" w:eastAsia="仿宋"/>
          <w:b/>
          <w:bCs/>
          <w:sz w:val="36"/>
          <w:szCs w:val="36"/>
        </w:rPr>
      </w:pPr>
    </w:p>
    <w:p w14:paraId="1E439AFC">
      <w:pPr>
        <w:spacing w:line="460" w:lineRule="exact"/>
        <w:jc w:val="center"/>
        <w:rPr>
          <w:rFonts w:ascii="仿宋" w:hAnsi="仿宋" w:eastAsia="仿宋"/>
          <w:b/>
          <w:bCs/>
          <w:sz w:val="36"/>
          <w:szCs w:val="36"/>
        </w:rPr>
      </w:pPr>
      <w:r>
        <w:rPr>
          <w:rFonts w:hint="eastAsia" w:ascii="仿宋" w:hAnsi="仿宋" w:eastAsia="仿宋"/>
          <w:b/>
          <w:bCs/>
          <w:sz w:val="36"/>
          <w:szCs w:val="36"/>
        </w:rPr>
        <w:t>五、招 募 流 程</w:t>
      </w:r>
    </w:p>
    <w:p w14:paraId="229D6F3E">
      <w:pPr>
        <w:spacing w:line="460" w:lineRule="exact"/>
        <w:rPr>
          <w:rFonts w:ascii="仿宋" w:hAnsi="仿宋" w:eastAsia="仿宋"/>
          <w:b/>
          <w:bCs/>
          <w:sz w:val="36"/>
          <w:szCs w:val="36"/>
        </w:rPr>
      </w:pPr>
    </w:p>
    <w:p w14:paraId="0CC1721F">
      <w:pPr>
        <w:numPr>
          <w:ilvl w:val="0"/>
          <w:numId w:val="5"/>
        </w:numPr>
        <w:spacing w:line="460" w:lineRule="exact"/>
        <w:ind w:firstLine="643" w:firstLineChars="200"/>
        <w:rPr>
          <w:rFonts w:ascii="仿宋" w:hAnsi="仿宋" w:eastAsia="仿宋"/>
          <w:b/>
          <w:bCs/>
          <w:sz w:val="32"/>
          <w:szCs w:val="32"/>
        </w:rPr>
      </w:pPr>
      <w:r>
        <w:rPr>
          <w:rFonts w:hint="eastAsia" w:ascii="仿宋" w:hAnsi="仿宋" w:eastAsia="仿宋"/>
          <w:b/>
          <w:bCs/>
          <w:sz w:val="32"/>
          <w:szCs w:val="32"/>
        </w:rPr>
        <w:t>参选主体资格条件</w:t>
      </w:r>
    </w:p>
    <w:p w14:paraId="7443C582">
      <w:pPr>
        <w:spacing w:line="460" w:lineRule="exact"/>
        <w:ind w:firstLine="640" w:firstLineChars="200"/>
        <w:rPr>
          <w:rFonts w:ascii="仿宋" w:hAnsi="仿宋" w:eastAsia="仿宋"/>
          <w:sz w:val="32"/>
          <w:szCs w:val="32"/>
        </w:rPr>
      </w:pPr>
      <w:r>
        <w:rPr>
          <w:rFonts w:hint="eastAsia" w:ascii="仿宋" w:hAnsi="仿宋" w:eastAsia="仿宋"/>
          <w:sz w:val="32"/>
          <w:szCs w:val="32"/>
        </w:rPr>
        <w:t xml:space="preserve">（1）具有完全民事行为能力的自然人或依法设立的企业法人、非法人组织； </w:t>
      </w:r>
    </w:p>
    <w:p w14:paraId="66FCF98B">
      <w:pPr>
        <w:spacing w:line="460" w:lineRule="exact"/>
        <w:ind w:firstLine="640" w:firstLineChars="200"/>
        <w:rPr>
          <w:rFonts w:ascii="仿宋" w:hAnsi="仿宋" w:eastAsia="仿宋"/>
          <w:sz w:val="32"/>
          <w:szCs w:val="32"/>
        </w:rPr>
      </w:pPr>
      <w:r>
        <w:rPr>
          <w:rFonts w:hint="eastAsia" w:ascii="仿宋" w:hAnsi="仿宋" w:eastAsia="仿宋"/>
          <w:sz w:val="32"/>
          <w:szCs w:val="32"/>
        </w:rPr>
        <w:t>（2）信用记录良好；最近三年无重大违法行为；未列入失信被执行人等。</w:t>
      </w:r>
    </w:p>
    <w:p w14:paraId="11FE4A4D">
      <w:pPr>
        <w:spacing w:line="460" w:lineRule="exact"/>
        <w:ind w:firstLine="640" w:firstLineChars="200"/>
        <w:rPr>
          <w:rFonts w:ascii="仿宋" w:hAnsi="仿宋" w:eastAsia="仿宋"/>
          <w:color w:val="auto"/>
          <w:sz w:val="32"/>
          <w:szCs w:val="32"/>
        </w:rPr>
      </w:pPr>
      <w:r>
        <w:rPr>
          <w:rFonts w:hint="eastAsia" w:ascii="仿宋" w:hAnsi="仿宋" w:eastAsia="仿宋"/>
          <w:color w:val="auto"/>
          <w:sz w:val="32"/>
          <w:szCs w:val="32"/>
        </w:rPr>
        <w:t>（3）重整投资总额不低于人民币1.</w:t>
      </w:r>
      <w:r>
        <w:rPr>
          <w:rFonts w:hint="eastAsia" w:ascii="仿宋" w:hAnsi="仿宋" w:eastAsia="仿宋"/>
          <w:color w:val="auto"/>
          <w:sz w:val="32"/>
          <w:szCs w:val="32"/>
          <w:lang w:val="en-US" w:eastAsia="zh-CN"/>
        </w:rPr>
        <w:t>4</w:t>
      </w:r>
      <w:r>
        <w:rPr>
          <w:rFonts w:hint="eastAsia" w:ascii="仿宋" w:hAnsi="仿宋" w:eastAsia="仿宋"/>
          <w:color w:val="auto"/>
          <w:sz w:val="32"/>
          <w:szCs w:val="32"/>
        </w:rPr>
        <w:t>亿元，且须在人民法院裁定批准重整计划草案之日起60日内付清全部投资款。</w:t>
      </w:r>
    </w:p>
    <w:p w14:paraId="637528AA">
      <w:pPr>
        <w:spacing w:line="460" w:lineRule="exact"/>
        <w:ind w:firstLine="643" w:firstLineChars="200"/>
        <w:rPr>
          <w:rFonts w:ascii="仿宋" w:hAnsi="仿宋" w:eastAsia="仿宋"/>
          <w:sz w:val="32"/>
          <w:szCs w:val="32"/>
        </w:rPr>
      </w:pPr>
      <w:r>
        <w:rPr>
          <w:rFonts w:hint="eastAsia" w:ascii="仿宋" w:hAnsi="仿宋" w:eastAsia="仿宋"/>
          <w:b/>
          <w:bCs/>
          <w:sz w:val="32"/>
          <w:szCs w:val="32"/>
        </w:rPr>
        <w:t>2、报名需提交的材料</w:t>
      </w:r>
    </w:p>
    <w:p w14:paraId="20A5E08B">
      <w:pPr>
        <w:spacing w:line="460" w:lineRule="exact"/>
        <w:ind w:firstLine="640" w:firstLineChars="200"/>
        <w:rPr>
          <w:rFonts w:ascii="仿宋" w:hAnsi="仿宋" w:eastAsia="仿宋"/>
          <w:sz w:val="32"/>
          <w:szCs w:val="32"/>
        </w:rPr>
      </w:pPr>
      <w:r>
        <w:rPr>
          <w:rFonts w:hint="eastAsia" w:ascii="仿宋" w:hAnsi="仿宋" w:eastAsia="仿宋"/>
          <w:sz w:val="32"/>
          <w:szCs w:val="32"/>
        </w:rPr>
        <w:t>（1）意向重整投资人主体资格证明文件。</w:t>
      </w:r>
    </w:p>
    <w:p w14:paraId="16A405B9">
      <w:pPr>
        <w:spacing w:line="460" w:lineRule="exact"/>
        <w:ind w:firstLine="643" w:firstLineChars="200"/>
        <w:rPr>
          <w:rFonts w:ascii="仿宋" w:hAnsi="仿宋" w:eastAsia="仿宋"/>
          <w:b/>
          <w:bCs/>
          <w:sz w:val="32"/>
          <w:szCs w:val="32"/>
        </w:rPr>
      </w:pPr>
      <w:r>
        <w:rPr>
          <w:rFonts w:hint="eastAsia" w:ascii="仿宋" w:hAnsi="仿宋" w:eastAsia="仿宋"/>
          <w:b/>
          <w:bCs/>
          <w:sz w:val="32"/>
          <w:szCs w:val="32"/>
        </w:rPr>
        <w:t>意向重整投资人为法人或非法人组织的，包括：</w:t>
      </w:r>
    </w:p>
    <w:p w14:paraId="2D7C39CA">
      <w:pPr>
        <w:spacing w:line="460" w:lineRule="exact"/>
        <w:ind w:firstLine="640" w:firstLineChars="200"/>
        <w:rPr>
          <w:rFonts w:ascii="仿宋" w:hAnsi="仿宋" w:eastAsia="仿宋"/>
          <w:sz w:val="32"/>
          <w:szCs w:val="32"/>
        </w:rPr>
      </w:pPr>
      <w:r>
        <w:rPr>
          <w:rFonts w:hint="eastAsia" w:ascii="仿宋" w:hAnsi="仿宋" w:eastAsia="仿宋"/>
          <w:sz w:val="32"/>
          <w:szCs w:val="32"/>
        </w:rPr>
        <w:t>①企业法人营业执照副本复印件；</w:t>
      </w:r>
    </w:p>
    <w:p w14:paraId="11C1BAF9">
      <w:pPr>
        <w:spacing w:line="460" w:lineRule="exact"/>
        <w:ind w:firstLine="640" w:firstLineChars="200"/>
        <w:rPr>
          <w:rFonts w:ascii="仿宋" w:hAnsi="仿宋" w:eastAsia="仿宋"/>
          <w:sz w:val="32"/>
          <w:szCs w:val="32"/>
        </w:rPr>
      </w:pPr>
      <w:r>
        <w:rPr>
          <w:rFonts w:hint="eastAsia" w:ascii="仿宋" w:hAnsi="仿宋" w:eastAsia="仿宋"/>
          <w:sz w:val="32"/>
          <w:szCs w:val="32"/>
        </w:rPr>
        <w:t>②现行有效的公司章程复印件；</w:t>
      </w:r>
    </w:p>
    <w:p w14:paraId="502EABF6">
      <w:pPr>
        <w:spacing w:line="460" w:lineRule="exact"/>
        <w:ind w:firstLine="640" w:firstLineChars="200"/>
        <w:rPr>
          <w:rFonts w:ascii="仿宋" w:hAnsi="仿宋" w:eastAsia="仿宋"/>
          <w:sz w:val="32"/>
          <w:szCs w:val="32"/>
        </w:rPr>
      </w:pPr>
      <w:r>
        <w:rPr>
          <w:rFonts w:hint="eastAsia" w:ascii="仿宋" w:hAnsi="仿宋" w:eastAsia="仿宋"/>
          <w:sz w:val="32"/>
          <w:szCs w:val="32"/>
        </w:rPr>
        <w:t>③法定代表人身份证明书原件及身份证复印件；</w:t>
      </w:r>
    </w:p>
    <w:p w14:paraId="2987DD7A">
      <w:pPr>
        <w:spacing w:line="460" w:lineRule="exact"/>
        <w:ind w:firstLine="640" w:firstLineChars="200"/>
        <w:rPr>
          <w:rFonts w:ascii="仿宋" w:hAnsi="仿宋" w:eastAsia="仿宋"/>
          <w:sz w:val="32"/>
          <w:szCs w:val="32"/>
        </w:rPr>
      </w:pPr>
      <w:r>
        <w:rPr>
          <w:rFonts w:hint="eastAsia" w:ascii="仿宋" w:hAnsi="仿宋" w:eastAsia="仿宋"/>
          <w:sz w:val="32"/>
          <w:szCs w:val="32"/>
        </w:rPr>
        <w:t>④授权委托书原件及受托人身份证复印件；</w:t>
      </w:r>
    </w:p>
    <w:p w14:paraId="5C485461">
      <w:pPr>
        <w:spacing w:line="460" w:lineRule="exact"/>
        <w:ind w:firstLine="640" w:firstLineChars="200"/>
        <w:rPr>
          <w:rFonts w:ascii="仿宋" w:hAnsi="仿宋" w:eastAsia="仿宋"/>
          <w:sz w:val="32"/>
          <w:szCs w:val="32"/>
        </w:rPr>
      </w:pPr>
      <w:r>
        <w:rPr>
          <w:rFonts w:hint="eastAsia" w:ascii="仿宋" w:hAnsi="仿宋" w:eastAsia="仿宋"/>
          <w:sz w:val="32"/>
          <w:szCs w:val="32"/>
        </w:rPr>
        <w:t>⑤同意参与百利公司重整投资人遴选的股东会决议复印件；</w:t>
      </w:r>
    </w:p>
    <w:p w14:paraId="5DD9FCE1">
      <w:pPr>
        <w:spacing w:line="460" w:lineRule="exact"/>
        <w:ind w:firstLine="640" w:firstLineChars="200"/>
        <w:rPr>
          <w:rFonts w:ascii="仿宋" w:hAnsi="仿宋" w:eastAsia="仿宋"/>
          <w:sz w:val="32"/>
          <w:szCs w:val="32"/>
        </w:rPr>
      </w:pPr>
      <w:r>
        <w:rPr>
          <w:rFonts w:hint="eastAsia" w:ascii="仿宋" w:hAnsi="仿宋" w:eastAsia="仿宋"/>
          <w:sz w:val="32"/>
          <w:szCs w:val="32"/>
        </w:rPr>
        <w:t>⑥载明意向重整投资人联系人、联系电话、电子邮箱、传真号码、通信地址的书面函件；</w:t>
      </w:r>
    </w:p>
    <w:p w14:paraId="0EC7364F">
      <w:pPr>
        <w:spacing w:line="460" w:lineRule="exact"/>
        <w:ind w:firstLine="640" w:firstLineChars="200"/>
        <w:rPr>
          <w:rFonts w:ascii="仿宋" w:hAnsi="仿宋" w:eastAsia="仿宋"/>
          <w:sz w:val="32"/>
          <w:szCs w:val="32"/>
        </w:rPr>
      </w:pPr>
      <w:r>
        <w:rPr>
          <w:rFonts w:hint="eastAsia" w:ascii="仿宋" w:hAnsi="仿宋" w:eastAsia="仿宋"/>
          <w:sz w:val="32"/>
          <w:szCs w:val="32"/>
        </w:rPr>
        <w:t>⑦意向重整投资人主要业务发展情况的证明材料和说明材料；</w:t>
      </w:r>
    </w:p>
    <w:p w14:paraId="0B7B1DC3">
      <w:pPr>
        <w:spacing w:line="460" w:lineRule="exact"/>
        <w:ind w:firstLine="640" w:firstLineChars="200"/>
        <w:rPr>
          <w:rFonts w:ascii="仿宋" w:hAnsi="仿宋" w:eastAsia="仿宋"/>
          <w:sz w:val="32"/>
          <w:szCs w:val="32"/>
        </w:rPr>
      </w:pPr>
      <w:r>
        <w:rPr>
          <w:rFonts w:hint="eastAsia" w:ascii="仿宋" w:hAnsi="仿宋" w:eastAsia="仿宋"/>
          <w:sz w:val="32"/>
          <w:szCs w:val="32"/>
        </w:rPr>
        <w:t>⑧</w:t>
      </w:r>
      <w:r>
        <w:rPr>
          <w:rFonts w:ascii="仿宋" w:hAnsi="仿宋" w:eastAsia="仿宋"/>
          <w:sz w:val="32"/>
          <w:szCs w:val="32"/>
        </w:rPr>
        <w:t>管理人</w:t>
      </w:r>
      <w:r>
        <w:rPr>
          <w:rFonts w:hint="eastAsia" w:ascii="仿宋" w:hAnsi="仿宋" w:eastAsia="仿宋"/>
          <w:sz w:val="32"/>
          <w:szCs w:val="32"/>
        </w:rPr>
        <w:t>根据意向重整投资人具体情况要求的其他材料。</w:t>
      </w:r>
    </w:p>
    <w:p w14:paraId="0D318A00">
      <w:pPr>
        <w:spacing w:line="460" w:lineRule="exact"/>
        <w:ind w:firstLine="643" w:firstLineChars="200"/>
        <w:rPr>
          <w:rFonts w:ascii="仿宋" w:hAnsi="仿宋" w:eastAsia="仿宋"/>
          <w:b/>
          <w:bCs/>
          <w:sz w:val="32"/>
          <w:szCs w:val="32"/>
        </w:rPr>
      </w:pPr>
      <w:r>
        <w:rPr>
          <w:rFonts w:hint="eastAsia" w:ascii="仿宋" w:hAnsi="仿宋" w:eastAsia="仿宋"/>
          <w:b/>
          <w:bCs/>
          <w:sz w:val="32"/>
          <w:szCs w:val="32"/>
        </w:rPr>
        <w:t>意向重整投资人为自然人的，包括：</w:t>
      </w:r>
    </w:p>
    <w:p w14:paraId="4087D267">
      <w:pPr>
        <w:spacing w:line="460" w:lineRule="exact"/>
        <w:ind w:firstLine="640" w:firstLineChars="200"/>
        <w:rPr>
          <w:rFonts w:ascii="仿宋" w:hAnsi="仿宋" w:eastAsia="仿宋"/>
          <w:sz w:val="32"/>
          <w:szCs w:val="32"/>
        </w:rPr>
      </w:pPr>
      <w:r>
        <w:rPr>
          <w:rFonts w:hint="eastAsia" w:ascii="仿宋" w:hAnsi="仿宋" w:eastAsia="仿宋"/>
          <w:sz w:val="32"/>
          <w:szCs w:val="32"/>
        </w:rPr>
        <w:t>①自然人身份证复印件；</w:t>
      </w:r>
    </w:p>
    <w:p w14:paraId="359FA04C">
      <w:pPr>
        <w:spacing w:line="460" w:lineRule="exact"/>
        <w:ind w:firstLine="640" w:firstLineChars="200"/>
        <w:rPr>
          <w:rFonts w:ascii="仿宋" w:hAnsi="仿宋" w:eastAsia="仿宋"/>
          <w:sz w:val="32"/>
          <w:szCs w:val="32"/>
        </w:rPr>
      </w:pPr>
      <w:r>
        <w:rPr>
          <w:rFonts w:hint="eastAsia" w:ascii="仿宋" w:hAnsi="仿宋" w:eastAsia="仿宋"/>
          <w:sz w:val="32"/>
          <w:szCs w:val="32"/>
        </w:rPr>
        <w:t>②载明意向重整投资人联系人、联系电话、电子邮箱、传真号码、通信地址的书面函件。</w:t>
      </w:r>
    </w:p>
    <w:p w14:paraId="47D54625">
      <w:pPr>
        <w:numPr>
          <w:ilvl w:val="0"/>
          <w:numId w:val="6"/>
        </w:numPr>
        <w:spacing w:line="460" w:lineRule="exact"/>
        <w:ind w:firstLine="640" w:firstLineChars="200"/>
        <w:rPr>
          <w:rFonts w:ascii="仿宋" w:hAnsi="仿宋" w:eastAsia="仿宋"/>
          <w:sz w:val="32"/>
          <w:szCs w:val="32"/>
        </w:rPr>
      </w:pPr>
      <w:r>
        <w:rPr>
          <w:rFonts w:hint="eastAsia" w:ascii="仿宋" w:hAnsi="仿宋" w:eastAsia="仿宋"/>
          <w:sz w:val="32"/>
          <w:szCs w:val="32"/>
        </w:rPr>
        <w:t>向</w:t>
      </w:r>
      <w:r>
        <w:rPr>
          <w:rFonts w:ascii="仿宋" w:hAnsi="仿宋" w:eastAsia="仿宋"/>
          <w:sz w:val="32"/>
          <w:szCs w:val="32"/>
        </w:rPr>
        <w:t>管理人</w:t>
      </w:r>
      <w:r>
        <w:rPr>
          <w:rFonts w:hint="eastAsia" w:ascii="仿宋" w:hAnsi="仿宋" w:eastAsia="仿宋"/>
          <w:sz w:val="32"/>
          <w:szCs w:val="32"/>
        </w:rPr>
        <w:t>递交意向重整投资承诺函，内容必须包括：</w:t>
      </w:r>
    </w:p>
    <w:p w14:paraId="5BF0DEAB">
      <w:pPr>
        <w:spacing w:line="460" w:lineRule="exact"/>
        <w:ind w:firstLine="640" w:firstLineChars="200"/>
        <w:rPr>
          <w:rFonts w:ascii="仿宋" w:hAnsi="仿宋" w:eastAsia="仿宋"/>
          <w:sz w:val="32"/>
          <w:szCs w:val="32"/>
        </w:rPr>
      </w:pPr>
      <w:r>
        <w:rPr>
          <w:rFonts w:hint="eastAsia" w:ascii="仿宋" w:hAnsi="仿宋" w:eastAsia="仿宋"/>
          <w:sz w:val="32"/>
          <w:szCs w:val="32"/>
        </w:rPr>
        <w:t>①对于所提交全部材料真实性的保证；</w:t>
      </w:r>
    </w:p>
    <w:p w14:paraId="429B2F2C">
      <w:pPr>
        <w:spacing w:line="460" w:lineRule="exact"/>
        <w:ind w:firstLine="640" w:firstLineChars="200"/>
        <w:rPr>
          <w:rFonts w:ascii="仿宋" w:hAnsi="仿宋" w:eastAsia="仿宋"/>
          <w:sz w:val="32"/>
          <w:szCs w:val="32"/>
        </w:rPr>
      </w:pPr>
      <w:r>
        <w:rPr>
          <w:rFonts w:hint="eastAsia" w:ascii="仿宋" w:hAnsi="仿宋" w:eastAsia="仿宋"/>
          <w:sz w:val="32"/>
          <w:szCs w:val="32"/>
        </w:rPr>
        <w:t xml:space="preserve">②承诺无条件接受遴选结果； </w:t>
      </w:r>
    </w:p>
    <w:p w14:paraId="566D77C9">
      <w:pPr>
        <w:spacing w:line="460" w:lineRule="exact"/>
        <w:ind w:firstLine="640" w:firstLineChars="200"/>
        <w:rPr>
          <w:rFonts w:ascii="仿宋" w:hAnsi="仿宋" w:eastAsia="仿宋"/>
          <w:sz w:val="32"/>
          <w:szCs w:val="32"/>
        </w:rPr>
      </w:pPr>
      <w:r>
        <w:rPr>
          <w:rFonts w:hint="eastAsia" w:ascii="仿宋" w:hAnsi="仿宋" w:eastAsia="仿宋"/>
          <w:sz w:val="32"/>
          <w:szCs w:val="32"/>
        </w:rPr>
        <w:t>③承诺在被遴选为重整投资人后以不低于其所提交投资方案的条件与</w:t>
      </w:r>
      <w:r>
        <w:rPr>
          <w:rFonts w:ascii="仿宋" w:hAnsi="仿宋" w:eastAsia="仿宋"/>
          <w:sz w:val="32"/>
          <w:szCs w:val="32"/>
        </w:rPr>
        <w:t>管理人</w:t>
      </w:r>
      <w:r>
        <w:rPr>
          <w:rFonts w:hint="eastAsia" w:ascii="仿宋" w:hAnsi="仿宋" w:eastAsia="仿宋"/>
          <w:sz w:val="32"/>
          <w:szCs w:val="32"/>
        </w:rPr>
        <w:t xml:space="preserve">签订重整投资协议书并执行； </w:t>
      </w:r>
    </w:p>
    <w:p w14:paraId="40993AD4">
      <w:pPr>
        <w:spacing w:line="460" w:lineRule="exact"/>
        <w:ind w:firstLine="640" w:firstLineChars="200"/>
        <w:rPr>
          <w:rFonts w:ascii="仿宋" w:hAnsi="仿宋" w:eastAsia="仿宋"/>
          <w:sz w:val="32"/>
          <w:szCs w:val="32"/>
        </w:rPr>
      </w:pPr>
      <w:r>
        <w:rPr>
          <w:rFonts w:hint="eastAsia" w:ascii="仿宋" w:hAnsi="仿宋" w:eastAsia="仿宋"/>
          <w:sz w:val="32"/>
          <w:szCs w:val="32"/>
        </w:rPr>
        <w:t>④承诺若提交材料不真实或被选定为重整投资人后单方拒不 签订重整投资协议书或拒不完整履行重整计划时，同意</w:t>
      </w:r>
      <w:r>
        <w:rPr>
          <w:rFonts w:ascii="仿宋" w:hAnsi="仿宋" w:eastAsia="仿宋"/>
          <w:sz w:val="32"/>
          <w:szCs w:val="32"/>
        </w:rPr>
        <w:t>管理人</w:t>
      </w:r>
      <w:r>
        <w:rPr>
          <w:rFonts w:hint="eastAsia" w:ascii="仿宋" w:hAnsi="仿宋" w:eastAsia="仿宋"/>
          <w:sz w:val="32"/>
          <w:szCs w:val="32"/>
        </w:rPr>
        <w:t>将已交付的重整保证金全部没收分配给百利公司债权人。</w:t>
      </w:r>
    </w:p>
    <w:p w14:paraId="5172A491">
      <w:pPr>
        <w:numPr>
          <w:ilvl w:val="0"/>
          <w:numId w:val="6"/>
        </w:numPr>
        <w:spacing w:line="460" w:lineRule="exact"/>
        <w:ind w:firstLine="640" w:firstLineChars="200"/>
        <w:rPr>
          <w:rFonts w:ascii="仿宋" w:hAnsi="仿宋" w:eastAsia="仿宋"/>
          <w:sz w:val="32"/>
          <w:szCs w:val="32"/>
        </w:rPr>
      </w:pPr>
      <w:r>
        <w:rPr>
          <w:rFonts w:hint="eastAsia" w:ascii="仿宋" w:hAnsi="仿宋" w:eastAsia="仿宋"/>
          <w:sz w:val="32"/>
          <w:szCs w:val="32"/>
        </w:rPr>
        <w:t>向</w:t>
      </w:r>
      <w:r>
        <w:rPr>
          <w:rFonts w:ascii="仿宋" w:hAnsi="仿宋" w:eastAsia="仿宋"/>
          <w:sz w:val="32"/>
          <w:szCs w:val="32"/>
        </w:rPr>
        <w:t>管理人</w:t>
      </w:r>
      <w:r>
        <w:rPr>
          <w:rFonts w:hint="eastAsia" w:ascii="仿宋" w:hAnsi="仿宋" w:eastAsia="仿宋"/>
          <w:sz w:val="32"/>
          <w:szCs w:val="32"/>
        </w:rPr>
        <w:t>递交重整投资方案</w:t>
      </w:r>
      <w:r>
        <w:rPr>
          <w:rFonts w:hint="eastAsia" w:ascii="仿宋" w:hAnsi="仿宋" w:eastAsia="仿宋"/>
          <w:sz w:val="32"/>
          <w:szCs w:val="32"/>
          <w:lang w:eastAsia="zh-Hans"/>
        </w:rPr>
        <w:t>以及经营方案</w:t>
      </w:r>
    </w:p>
    <w:p w14:paraId="36202871">
      <w:pPr>
        <w:spacing w:line="460" w:lineRule="exact"/>
        <w:ind w:firstLine="643" w:firstLineChars="200"/>
        <w:rPr>
          <w:rFonts w:ascii="仿宋" w:hAnsi="仿宋" w:eastAsia="仿宋"/>
          <w:sz w:val="32"/>
          <w:szCs w:val="32"/>
        </w:rPr>
      </w:pPr>
      <w:r>
        <w:rPr>
          <w:rFonts w:hint="eastAsia" w:ascii="仿宋" w:hAnsi="仿宋" w:eastAsia="仿宋"/>
          <w:b/>
          <w:bCs/>
          <w:sz w:val="32"/>
          <w:szCs w:val="32"/>
        </w:rPr>
        <w:t>3、报名截止时间、地点、联系方式</w:t>
      </w:r>
    </w:p>
    <w:p w14:paraId="0ABC41C2">
      <w:pPr>
        <w:spacing w:line="460" w:lineRule="exact"/>
        <w:ind w:firstLine="640" w:firstLineChars="200"/>
        <w:rPr>
          <w:rFonts w:ascii="仿宋" w:hAnsi="仿宋" w:eastAsia="仿宋"/>
          <w:sz w:val="32"/>
          <w:szCs w:val="32"/>
        </w:rPr>
      </w:pPr>
      <w:r>
        <w:rPr>
          <w:rFonts w:hint="eastAsia" w:ascii="仿宋" w:hAnsi="仿宋" w:eastAsia="仿宋"/>
          <w:sz w:val="32"/>
          <w:szCs w:val="32"/>
        </w:rPr>
        <w:t>（1）报名截止时间：</w:t>
      </w:r>
      <w:r>
        <w:rPr>
          <w:rFonts w:hint="eastAsia" w:ascii="仿宋" w:hAnsi="仿宋" w:eastAsia="仿宋"/>
          <w:color w:val="auto"/>
          <w:sz w:val="32"/>
          <w:szCs w:val="32"/>
        </w:rPr>
        <w:t>202</w:t>
      </w:r>
      <w:r>
        <w:rPr>
          <w:rFonts w:hint="eastAsia" w:ascii="仿宋" w:hAnsi="仿宋" w:eastAsia="仿宋"/>
          <w:color w:val="auto"/>
          <w:sz w:val="32"/>
          <w:szCs w:val="32"/>
          <w:lang w:val="en-US" w:eastAsia="zh-CN"/>
        </w:rPr>
        <w:t>6</w:t>
      </w:r>
      <w:r>
        <w:rPr>
          <w:rFonts w:hint="eastAsia" w:ascii="仿宋" w:hAnsi="仿宋" w:eastAsia="仿宋"/>
          <w:color w:val="auto"/>
          <w:sz w:val="32"/>
          <w:szCs w:val="32"/>
        </w:rPr>
        <w:t>年</w:t>
      </w:r>
      <w:r>
        <w:rPr>
          <w:rFonts w:hint="eastAsia" w:ascii="仿宋" w:hAnsi="仿宋" w:eastAsia="仿宋"/>
          <w:color w:val="auto"/>
          <w:sz w:val="32"/>
          <w:szCs w:val="32"/>
          <w:lang w:val="en-US" w:eastAsia="zh-CN"/>
        </w:rPr>
        <w:t>11</w:t>
      </w:r>
      <w:r>
        <w:rPr>
          <w:rFonts w:hint="eastAsia" w:ascii="仿宋" w:hAnsi="仿宋" w:eastAsia="仿宋"/>
          <w:color w:val="auto"/>
          <w:sz w:val="32"/>
          <w:szCs w:val="32"/>
        </w:rPr>
        <w:t>月</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日下午18 时00分，</w:t>
      </w:r>
      <w:r>
        <w:rPr>
          <w:rFonts w:hint="eastAsia" w:ascii="仿宋" w:hAnsi="仿宋" w:eastAsia="仿宋"/>
          <w:sz w:val="32"/>
          <w:szCs w:val="32"/>
        </w:rPr>
        <w:t>逾期不再接受报名；</w:t>
      </w:r>
    </w:p>
    <w:p w14:paraId="7333669F">
      <w:pPr>
        <w:spacing w:line="460" w:lineRule="exact"/>
        <w:ind w:firstLine="640" w:firstLineChars="200"/>
        <w:rPr>
          <w:rFonts w:ascii="仿宋" w:hAnsi="仿宋" w:eastAsia="仿宋"/>
          <w:sz w:val="32"/>
          <w:szCs w:val="32"/>
        </w:rPr>
      </w:pPr>
      <w:r>
        <w:rPr>
          <w:rFonts w:hint="eastAsia" w:ascii="仿宋" w:hAnsi="仿宋" w:eastAsia="仿宋"/>
          <w:sz w:val="32"/>
          <w:szCs w:val="32"/>
        </w:rPr>
        <w:t>（2）地址：南宁市青秀区金浦路16号汇东国际F1803；</w:t>
      </w:r>
    </w:p>
    <w:p w14:paraId="15F4D5FA">
      <w:pPr>
        <w:spacing w:line="460" w:lineRule="exact"/>
        <w:ind w:firstLine="640" w:firstLineChars="200"/>
        <w:rPr>
          <w:rFonts w:ascii="仿宋" w:hAnsi="仿宋" w:eastAsia="仿宋"/>
          <w:sz w:val="32"/>
          <w:szCs w:val="32"/>
          <w:lang w:eastAsia="zh-Hans"/>
        </w:rPr>
      </w:pPr>
      <w:r>
        <w:rPr>
          <w:rFonts w:hint="eastAsia" w:ascii="仿宋" w:hAnsi="仿宋" w:eastAsia="仿宋"/>
          <w:sz w:val="32"/>
          <w:szCs w:val="32"/>
        </w:rPr>
        <w:t>（3）联系人：黄杰，15878110111</w:t>
      </w:r>
      <w:r>
        <w:rPr>
          <w:rFonts w:ascii="仿宋" w:hAnsi="仿宋" w:eastAsia="仿宋"/>
          <w:sz w:val="32"/>
          <w:szCs w:val="32"/>
        </w:rPr>
        <w:t>；</w:t>
      </w:r>
      <w:r>
        <w:rPr>
          <w:rFonts w:hint="eastAsia" w:ascii="仿宋" w:hAnsi="仿宋" w:eastAsia="仿宋"/>
          <w:sz w:val="32"/>
          <w:szCs w:val="32"/>
          <w:lang w:eastAsia="zh-Hans"/>
        </w:rPr>
        <w:t>张湘萍</w:t>
      </w:r>
      <w:r>
        <w:rPr>
          <w:rFonts w:ascii="仿宋" w:hAnsi="仿宋" w:eastAsia="仿宋"/>
          <w:sz w:val="32"/>
          <w:szCs w:val="32"/>
          <w:lang w:eastAsia="zh-Hans"/>
        </w:rPr>
        <w:t>，15978163290。</w:t>
      </w:r>
    </w:p>
    <w:p w14:paraId="5778B4BA">
      <w:pPr>
        <w:spacing w:line="4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w:t>
      </w:r>
      <w:r>
        <w:rPr>
          <w:rFonts w:hint="eastAsia" w:ascii="仿宋" w:hAnsi="仿宋" w:eastAsia="仿宋"/>
          <w:sz w:val="32"/>
          <w:szCs w:val="32"/>
          <w:lang w:val="en-US" w:eastAsia="zh-CN"/>
        </w:rPr>
        <w:t>4</w:t>
      </w:r>
      <w:r>
        <w:rPr>
          <w:rFonts w:hint="eastAsia" w:ascii="仿宋" w:hAnsi="仿宋" w:eastAsia="仿宋"/>
          <w:sz w:val="32"/>
          <w:szCs w:val="32"/>
          <w:lang w:eastAsia="zh-CN"/>
        </w:rPr>
        <w:t>）</w:t>
      </w:r>
      <w:r>
        <w:rPr>
          <w:rFonts w:hint="eastAsia" w:ascii="仿宋" w:hAnsi="仿宋" w:eastAsia="仿宋"/>
          <w:sz w:val="32"/>
          <w:szCs w:val="32"/>
          <w:lang w:val="en-US" w:eastAsia="zh-CN"/>
        </w:rPr>
        <w:t>报名材料正本壹份、副本两份，邮寄方式提交的以寄出时间为准，材料封面应注明意向投资人名称及联系方式。另，意向投资人还需发送一份电子版材料至管理人邮箱：245573317@</w:t>
      </w:r>
      <w:r>
        <w:rPr>
          <w:rFonts w:hint="default" w:ascii="仿宋" w:hAnsi="仿宋" w:eastAsia="仿宋"/>
          <w:sz w:val="32"/>
          <w:szCs w:val="32"/>
          <w:lang w:val="en-US" w:eastAsia="zh-CN"/>
        </w:rPr>
        <w:t>qq.com</w:t>
      </w:r>
      <w:r>
        <w:rPr>
          <w:rFonts w:hint="eastAsia" w:ascii="仿宋" w:hAnsi="仿宋" w:eastAsia="仿宋"/>
          <w:sz w:val="32"/>
          <w:szCs w:val="32"/>
          <w:lang w:val="en-US" w:eastAsia="zh-CN"/>
        </w:rPr>
        <w:t>。</w:t>
      </w:r>
    </w:p>
    <w:p w14:paraId="6CC1A72B">
      <w:pPr>
        <w:spacing w:line="460" w:lineRule="exact"/>
        <w:ind w:firstLine="640" w:firstLineChars="200"/>
        <w:rPr>
          <w:rFonts w:ascii="仿宋" w:hAnsi="仿宋" w:eastAsia="仿宋"/>
          <w:sz w:val="32"/>
          <w:szCs w:val="32"/>
        </w:rPr>
      </w:pPr>
      <w:r>
        <w:rPr>
          <w:rFonts w:hint="eastAsia" w:ascii="仿宋" w:hAnsi="仿宋" w:eastAsia="仿宋"/>
          <w:sz w:val="32"/>
          <w:szCs w:val="32"/>
        </w:rPr>
        <w:t>4、尽职调查</w:t>
      </w:r>
    </w:p>
    <w:p w14:paraId="5C37042C">
      <w:pPr>
        <w:spacing w:line="460" w:lineRule="exact"/>
        <w:ind w:firstLine="640" w:firstLineChars="200"/>
        <w:rPr>
          <w:rFonts w:ascii="仿宋" w:hAnsi="仿宋" w:eastAsia="仿宋"/>
          <w:sz w:val="32"/>
          <w:szCs w:val="32"/>
        </w:rPr>
      </w:pPr>
      <w:r>
        <w:rPr>
          <w:rFonts w:hint="eastAsia" w:ascii="仿宋" w:hAnsi="仿宋" w:eastAsia="仿宋"/>
          <w:sz w:val="32"/>
          <w:szCs w:val="32"/>
        </w:rPr>
        <w:t>（1）尽调保证金</w:t>
      </w:r>
    </w:p>
    <w:p w14:paraId="45A7E706">
      <w:pPr>
        <w:spacing w:line="460" w:lineRule="exact"/>
        <w:ind w:firstLine="640" w:firstLineChars="200"/>
        <w:rPr>
          <w:rFonts w:ascii="仿宋" w:hAnsi="仿宋" w:eastAsia="仿宋"/>
          <w:sz w:val="32"/>
          <w:szCs w:val="32"/>
        </w:rPr>
      </w:pPr>
      <w:r>
        <w:rPr>
          <w:rFonts w:hint="eastAsia" w:ascii="仿宋" w:hAnsi="仿宋" w:eastAsia="仿宋"/>
          <w:sz w:val="32"/>
          <w:szCs w:val="32"/>
        </w:rPr>
        <w:t>意向重整投资人如需</w:t>
      </w:r>
      <w:r>
        <w:rPr>
          <w:rFonts w:ascii="仿宋" w:hAnsi="仿宋" w:eastAsia="仿宋"/>
          <w:sz w:val="32"/>
          <w:szCs w:val="32"/>
        </w:rPr>
        <w:t>管理人</w:t>
      </w:r>
      <w:r>
        <w:rPr>
          <w:rFonts w:hint="eastAsia" w:ascii="仿宋" w:hAnsi="仿宋" w:eastAsia="仿宋"/>
          <w:sz w:val="32"/>
          <w:szCs w:val="32"/>
        </w:rPr>
        <w:t>对本招募公告之相关内容进行补充说明，或需查阅百利公司的评估报告、债权申报和审查（复核）结论、纳税情况等明细资料的，应向</w:t>
      </w:r>
      <w:r>
        <w:rPr>
          <w:rFonts w:ascii="仿宋" w:hAnsi="仿宋" w:eastAsia="仿宋"/>
          <w:sz w:val="32"/>
          <w:szCs w:val="32"/>
        </w:rPr>
        <w:t>管理人</w:t>
      </w:r>
      <w:r>
        <w:rPr>
          <w:rFonts w:hint="eastAsia" w:ascii="仿宋" w:hAnsi="仿宋" w:eastAsia="仿宋"/>
          <w:sz w:val="32"/>
          <w:szCs w:val="32"/>
        </w:rPr>
        <w:t>缴纳尽调保证金。</w:t>
      </w:r>
      <w:r>
        <w:rPr>
          <w:rFonts w:ascii="仿宋" w:hAnsi="仿宋" w:eastAsia="仿宋"/>
          <w:sz w:val="32"/>
          <w:szCs w:val="32"/>
        </w:rPr>
        <w:t>管理人</w:t>
      </w:r>
      <w:r>
        <w:rPr>
          <w:rFonts w:hint="eastAsia" w:ascii="仿宋" w:hAnsi="仿宋" w:eastAsia="仿宋"/>
          <w:sz w:val="32"/>
          <w:szCs w:val="32"/>
        </w:rPr>
        <w:t>在意向重整投资人缴足尽调保证金并提交书面尽职调查清单后5个工作日内予以配合或安排。</w:t>
      </w:r>
    </w:p>
    <w:p w14:paraId="55569F41">
      <w:pPr>
        <w:spacing w:line="460" w:lineRule="exact"/>
        <w:ind w:firstLine="640" w:firstLineChars="200"/>
        <w:rPr>
          <w:rFonts w:ascii="仿宋" w:hAnsi="仿宋" w:eastAsia="仿宋"/>
          <w:sz w:val="32"/>
          <w:szCs w:val="32"/>
        </w:rPr>
      </w:pPr>
      <w:r>
        <w:rPr>
          <w:rFonts w:hint="eastAsia" w:ascii="仿宋" w:hAnsi="仿宋" w:eastAsia="仿宋"/>
          <w:sz w:val="32"/>
          <w:szCs w:val="32"/>
        </w:rPr>
        <w:t>（2）尽调保证金的金额及缴纳方式</w:t>
      </w:r>
    </w:p>
    <w:p w14:paraId="772864CA">
      <w:pPr>
        <w:spacing w:line="460" w:lineRule="exact"/>
        <w:ind w:firstLine="640" w:firstLineChars="200"/>
        <w:rPr>
          <w:rFonts w:ascii="仿宋" w:hAnsi="仿宋" w:eastAsia="仿宋"/>
          <w:sz w:val="32"/>
          <w:szCs w:val="32"/>
        </w:rPr>
      </w:pPr>
      <w:r>
        <w:rPr>
          <w:rFonts w:hint="eastAsia" w:ascii="仿宋" w:hAnsi="仿宋" w:eastAsia="仿宋"/>
          <w:sz w:val="32"/>
          <w:szCs w:val="32"/>
        </w:rPr>
        <w:t>意向重整投资人的尽调保证金为200万元，意向重整投资人应将尽调保证金汇入</w:t>
      </w:r>
      <w:r>
        <w:rPr>
          <w:rFonts w:ascii="仿宋" w:hAnsi="仿宋" w:eastAsia="仿宋"/>
          <w:sz w:val="32"/>
          <w:szCs w:val="32"/>
        </w:rPr>
        <w:t>管理人</w:t>
      </w:r>
      <w:r>
        <w:rPr>
          <w:rFonts w:hint="eastAsia" w:ascii="仿宋" w:hAnsi="仿宋" w:eastAsia="仿宋"/>
          <w:sz w:val="32"/>
          <w:szCs w:val="32"/>
        </w:rPr>
        <w:t>的银行账户。如意向重整投资人未缴纳尽调保证金，但愿意参与百利公司招募竞价，并符合意向重整投资人资格条件的，可继续按本招募公告的规定缴纳重整投资保证金和提交重整投资文件，未缴纳尽调保证金视为该意向重整投资人不对百利公司尽调并同意按百利公司现状进行投资。</w:t>
      </w:r>
    </w:p>
    <w:p w14:paraId="63AF93F7">
      <w:pPr>
        <w:spacing w:line="460" w:lineRule="exact"/>
        <w:ind w:firstLine="640" w:firstLineChars="200"/>
        <w:rPr>
          <w:rFonts w:ascii="仿宋" w:hAnsi="仿宋" w:eastAsia="仿宋"/>
          <w:sz w:val="32"/>
          <w:szCs w:val="32"/>
        </w:rPr>
      </w:pPr>
      <w:r>
        <w:rPr>
          <w:rFonts w:hint="eastAsia" w:ascii="仿宋" w:hAnsi="仿宋" w:eastAsia="仿宋"/>
          <w:sz w:val="32"/>
          <w:szCs w:val="32"/>
        </w:rPr>
        <w:t>户名：南宁百利物业开发有限公司</w:t>
      </w:r>
      <w:r>
        <w:rPr>
          <w:rFonts w:ascii="仿宋" w:hAnsi="仿宋" w:eastAsia="仿宋"/>
          <w:sz w:val="32"/>
          <w:szCs w:val="32"/>
        </w:rPr>
        <w:t>管理人</w:t>
      </w:r>
    </w:p>
    <w:p w14:paraId="61CC4ADD">
      <w:pPr>
        <w:spacing w:line="460" w:lineRule="exact"/>
        <w:ind w:firstLine="640" w:firstLineChars="200"/>
        <w:rPr>
          <w:rFonts w:ascii="仿宋" w:hAnsi="仿宋" w:eastAsia="仿宋"/>
          <w:sz w:val="32"/>
          <w:szCs w:val="32"/>
        </w:rPr>
      </w:pPr>
      <w:r>
        <w:rPr>
          <w:rFonts w:hint="eastAsia" w:ascii="仿宋" w:hAnsi="仿宋" w:eastAsia="仿宋"/>
          <w:sz w:val="32"/>
          <w:szCs w:val="32"/>
        </w:rPr>
        <w:t>开户行：中国光大银行股份有限公司南宁园湖支行</w:t>
      </w:r>
    </w:p>
    <w:p w14:paraId="7560DBD8">
      <w:pPr>
        <w:spacing w:line="460" w:lineRule="exact"/>
        <w:ind w:firstLine="640" w:firstLineChars="200"/>
        <w:rPr>
          <w:rFonts w:ascii="仿宋" w:hAnsi="仿宋" w:eastAsia="仿宋"/>
          <w:sz w:val="32"/>
          <w:szCs w:val="32"/>
        </w:rPr>
      </w:pPr>
      <w:r>
        <w:rPr>
          <w:rFonts w:hint="eastAsia" w:ascii="仿宋" w:hAnsi="仿宋" w:eastAsia="仿宋"/>
          <w:sz w:val="32"/>
          <w:szCs w:val="32"/>
        </w:rPr>
        <w:t>账号：78850188000323347</w:t>
      </w:r>
    </w:p>
    <w:p w14:paraId="1FDEEC53">
      <w:pPr>
        <w:spacing w:line="460" w:lineRule="exact"/>
        <w:ind w:firstLine="640" w:firstLineChars="200"/>
        <w:rPr>
          <w:rFonts w:ascii="仿宋" w:hAnsi="仿宋" w:eastAsia="仿宋"/>
          <w:sz w:val="32"/>
          <w:szCs w:val="32"/>
        </w:rPr>
      </w:pPr>
      <w:r>
        <w:rPr>
          <w:rFonts w:hint="eastAsia" w:ascii="仿宋" w:hAnsi="仿宋" w:eastAsia="仿宋"/>
          <w:sz w:val="32"/>
          <w:szCs w:val="32"/>
        </w:rPr>
        <w:t>（3）尽调保证金的使用</w:t>
      </w:r>
    </w:p>
    <w:p w14:paraId="461CF38F">
      <w:pPr>
        <w:spacing w:line="460" w:lineRule="exact"/>
        <w:ind w:firstLine="640" w:firstLineChars="200"/>
        <w:rPr>
          <w:rFonts w:ascii="仿宋" w:hAnsi="仿宋" w:eastAsia="仿宋"/>
          <w:sz w:val="32"/>
          <w:szCs w:val="32"/>
        </w:rPr>
      </w:pPr>
      <w:r>
        <w:rPr>
          <w:rFonts w:hint="eastAsia" w:ascii="仿宋" w:hAnsi="仿宋" w:eastAsia="仿宋"/>
          <w:sz w:val="32"/>
          <w:szCs w:val="32"/>
        </w:rPr>
        <w:t>在意向重整投资人缴纳重整投资保证金时，如已缴纳200万元尽调保证金的，该尽调保证金转为等额重整投资保证金。</w:t>
      </w:r>
    </w:p>
    <w:p w14:paraId="5FB892C2">
      <w:pPr>
        <w:spacing w:line="460" w:lineRule="exact"/>
        <w:ind w:firstLine="640" w:firstLineChars="200"/>
        <w:rPr>
          <w:rFonts w:ascii="仿宋" w:hAnsi="仿宋" w:eastAsia="仿宋"/>
          <w:sz w:val="32"/>
          <w:szCs w:val="32"/>
        </w:rPr>
      </w:pPr>
      <w:r>
        <w:rPr>
          <w:rFonts w:hint="eastAsia" w:ascii="仿宋" w:hAnsi="仿宋" w:eastAsia="仿宋"/>
          <w:sz w:val="32"/>
          <w:szCs w:val="32"/>
        </w:rPr>
        <w:t>（4）尽调保证金的退还</w:t>
      </w:r>
    </w:p>
    <w:p w14:paraId="46E30633">
      <w:pPr>
        <w:spacing w:line="460" w:lineRule="exact"/>
        <w:ind w:firstLine="640" w:firstLineChars="200"/>
        <w:rPr>
          <w:rFonts w:ascii="仿宋" w:hAnsi="仿宋" w:eastAsia="仿宋"/>
          <w:color w:val="auto"/>
          <w:sz w:val="32"/>
          <w:szCs w:val="32"/>
        </w:rPr>
      </w:pPr>
      <w:r>
        <w:rPr>
          <w:rFonts w:hint="eastAsia" w:ascii="仿宋" w:hAnsi="仿宋" w:eastAsia="仿宋"/>
          <w:sz w:val="32"/>
          <w:szCs w:val="32"/>
        </w:rPr>
        <w:t>已缴200万元尽调保证金的意向重整投资人最迟应</w:t>
      </w:r>
      <w:r>
        <w:rPr>
          <w:rFonts w:hint="eastAsia" w:ascii="仿宋" w:hAnsi="仿宋" w:eastAsia="仿宋"/>
          <w:color w:val="auto"/>
          <w:sz w:val="32"/>
          <w:szCs w:val="32"/>
        </w:rPr>
        <w:t>于202</w:t>
      </w:r>
      <w:r>
        <w:rPr>
          <w:rFonts w:hint="eastAsia" w:ascii="仿宋" w:hAnsi="仿宋" w:eastAsia="仿宋"/>
          <w:color w:val="auto"/>
          <w:sz w:val="32"/>
          <w:szCs w:val="32"/>
          <w:lang w:val="en-US" w:eastAsia="zh-CN"/>
        </w:rPr>
        <w:t>6</w:t>
      </w:r>
      <w:r>
        <w:rPr>
          <w:rFonts w:hint="eastAsia" w:ascii="仿宋" w:hAnsi="仿宋" w:eastAsia="仿宋"/>
          <w:color w:val="auto"/>
          <w:sz w:val="32"/>
          <w:szCs w:val="32"/>
        </w:rPr>
        <w:t>年</w:t>
      </w:r>
      <w:r>
        <w:rPr>
          <w:rFonts w:hint="eastAsia" w:ascii="仿宋" w:hAnsi="仿宋" w:eastAsia="仿宋"/>
          <w:color w:val="auto"/>
          <w:sz w:val="32"/>
          <w:szCs w:val="32"/>
          <w:lang w:val="en-US" w:eastAsia="zh-CN"/>
        </w:rPr>
        <w:t>11</w:t>
      </w:r>
      <w:r>
        <w:rPr>
          <w:rFonts w:hint="eastAsia" w:ascii="仿宋" w:hAnsi="仿宋" w:eastAsia="仿宋"/>
          <w:color w:val="auto"/>
          <w:sz w:val="32"/>
          <w:szCs w:val="32"/>
        </w:rPr>
        <w:t>月</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日18时00分决定是否缴纳5800万元重整投资保证金。意向重整投资人未按期缴纳重整投资保证金，或未按期提交重整投资文件的，或明确表示放弃投资资格的，</w:t>
      </w:r>
      <w:r>
        <w:rPr>
          <w:rFonts w:ascii="仿宋" w:hAnsi="仿宋" w:eastAsia="仿宋"/>
          <w:color w:val="auto"/>
          <w:sz w:val="32"/>
          <w:szCs w:val="32"/>
        </w:rPr>
        <w:t>管理人</w:t>
      </w:r>
      <w:r>
        <w:rPr>
          <w:rFonts w:hint="eastAsia" w:ascii="仿宋" w:hAnsi="仿宋" w:eastAsia="仿宋"/>
          <w:color w:val="auto"/>
          <w:sz w:val="32"/>
          <w:szCs w:val="32"/>
        </w:rPr>
        <w:t>将在招募截止后三个工作日内无息退还尽调保证金。</w:t>
      </w:r>
    </w:p>
    <w:p w14:paraId="0E71B7AF">
      <w:pPr>
        <w:spacing w:line="460" w:lineRule="exact"/>
        <w:ind w:firstLine="640" w:firstLineChars="200"/>
        <w:rPr>
          <w:rFonts w:ascii="仿宋" w:hAnsi="仿宋" w:eastAsia="仿宋"/>
          <w:color w:val="auto"/>
          <w:sz w:val="32"/>
          <w:szCs w:val="32"/>
        </w:rPr>
      </w:pPr>
      <w:r>
        <w:rPr>
          <w:rFonts w:hint="eastAsia" w:ascii="仿宋" w:hAnsi="仿宋" w:eastAsia="仿宋"/>
          <w:color w:val="auto"/>
          <w:sz w:val="32"/>
          <w:szCs w:val="32"/>
        </w:rPr>
        <w:t>5、重整投资保证金</w:t>
      </w:r>
    </w:p>
    <w:p w14:paraId="3BA0704B">
      <w:pPr>
        <w:spacing w:line="460" w:lineRule="exact"/>
        <w:ind w:firstLine="640" w:firstLineChars="200"/>
        <w:rPr>
          <w:rFonts w:ascii="仿宋" w:hAnsi="仿宋" w:eastAsia="仿宋"/>
          <w:sz w:val="32"/>
          <w:szCs w:val="32"/>
        </w:rPr>
      </w:pPr>
      <w:r>
        <w:rPr>
          <w:rFonts w:hint="eastAsia" w:ascii="仿宋" w:hAnsi="仿宋" w:eastAsia="仿宋"/>
          <w:color w:val="auto"/>
          <w:sz w:val="32"/>
          <w:szCs w:val="32"/>
        </w:rPr>
        <w:t>意向重整投资人拟对百利公司进行重整投资的，应缴纳重整投资保证金</w:t>
      </w:r>
      <w:r>
        <w:rPr>
          <w:rFonts w:ascii="仿宋" w:hAnsi="仿宋" w:eastAsia="仿宋"/>
          <w:color w:val="auto"/>
          <w:sz w:val="32"/>
          <w:szCs w:val="32"/>
        </w:rPr>
        <w:t>，</w:t>
      </w:r>
      <w:r>
        <w:rPr>
          <w:rFonts w:hint="eastAsia" w:ascii="仿宋" w:hAnsi="仿宋" w:eastAsia="仿宋"/>
          <w:color w:val="auto"/>
          <w:sz w:val="32"/>
          <w:szCs w:val="32"/>
        </w:rPr>
        <w:t>重整投资保证金为600</w:t>
      </w:r>
      <w:r>
        <w:rPr>
          <w:rFonts w:ascii="仿宋" w:hAnsi="仿宋" w:eastAsia="仿宋"/>
          <w:color w:val="auto"/>
          <w:sz w:val="32"/>
          <w:szCs w:val="32"/>
        </w:rPr>
        <w:t>0</w:t>
      </w:r>
      <w:r>
        <w:rPr>
          <w:rFonts w:hint="eastAsia" w:ascii="仿宋" w:hAnsi="仿宋" w:eastAsia="仿宋"/>
          <w:color w:val="auto"/>
          <w:sz w:val="32"/>
          <w:szCs w:val="32"/>
        </w:rPr>
        <w:t>万元（已缴纳尽调保证金的，尽调保证金自动转为等额重整投资保证金）。意向重整投资人最迟应于202</w:t>
      </w:r>
      <w:r>
        <w:rPr>
          <w:rFonts w:hint="eastAsia" w:ascii="仿宋" w:hAnsi="仿宋" w:eastAsia="仿宋"/>
          <w:color w:val="auto"/>
          <w:sz w:val="32"/>
          <w:szCs w:val="32"/>
          <w:lang w:val="en-US" w:eastAsia="zh-CN"/>
        </w:rPr>
        <w:t>6</w:t>
      </w:r>
      <w:r>
        <w:rPr>
          <w:rFonts w:hint="eastAsia" w:ascii="仿宋" w:hAnsi="仿宋" w:eastAsia="仿宋"/>
          <w:color w:val="auto"/>
          <w:sz w:val="32"/>
          <w:szCs w:val="32"/>
        </w:rPr>
        <w:t>年</w:t>
      </w:r>
      <w:r>
        <w:rPr>
          <w:rFonts w:hint="eastAsia" w:ascii="仿宋" w:hAnsi="仿宋" w:eastAsia="仿宋"/>
          <w:color w:val="auto"/>
          <w:sz w:val="32"/>
          <w:szCs w:val="32"/>
          <w:lang w:val="en-US" w:eastAsia="zh-CN"/>
        </w:rPr>
        <w:t>11</w:t>
      </w:r>
      <w:r>
        <w:rPr>
          <w:rFonts w:hint="eastAsia" w:ascii="仿宋" w:hAnsi="仿宋" w:eastAsia="仿宋"/>
          <w:color w:val="auto"/>
          <w:sz w:val="32"/>
          <w:szCs w:val="32"/>
        </w:rPr>
        <w:t>月</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日18时00分前将重</w:t>
      </w:r>
      <w:r>
        <w:rPr>
          <w:rFonts w:hint="eastAsia" w:ascii="仿宋" w:hAnsi="仿宋" w:eastAsia="仿宋"/>
          <w:sz w:val="32"/>
          <w:szCs w:val="32"/>
        </w:rPr>
        <w:t>整投资保证金汇入以下银行账户（以到达</w:t>
      </w:r>
      <w:r>
        <w:rPr>
          <w:rFonts w:ascii="仿宋" w:hAnsi="仿宋" w:eastAsia="仿宋"/>
          <w:sz w:val="32"/>
          <w:szCs w:val="32"/>
        </w:rPr>
        <w:t>管理人</w:t>
      </w:r>
      <w:r>
        <w:rPr>
          <w:rFonts w:hint="eastAsia" w:ascii="仿宋" w:hAnsi="仿宋" w:eastAsia="仿宋"/>
          <w:sz w:val="32"/>
          <w:szCs w:val="32"/>
        </w:rPr>
        <w:t>账户时间为准）。未按规定足额缴纳重整投资保证金的丧失后续遴选资格。</w:t>
      </w:r>
    </w:p>
    <w:p w14:paraId="1500BE2C">
      <w:pPr>
        <w:spacing w:line="460" w:lineRule="exact"/>
        <w:ind w:firstLine="640" w:firstLineChars="200"/>
        <w:rPr>
          <w:rFonts w:ascii="仿宋" w:hAnsi="仿宋" w:eastAsia="仿宋"/>
          <w:sz w:val="32"/>
          <w:szCs w:val="32"/>
        </w:rPr>
      </w:pPr>
      <w:r>
        <w:rPr>
          <w:rFonts w:hint="eastAsia" w:ascii="仿宋" w:hAnsi="仿宋" w:eastAsia="仿宋"/>
          <w:sz w:val="32"/>
          <w:szCs w:val="32"/>
        </w:rPr>
        <w:t>户名：南宁百利物业开发有限公司</w:t>
      </w:r>
      <w:r>
        <w:rPr>
          <w:rFonts w:ascii="仿宋" w:hAnsi="仿宋" w:eastAsia="仿宋"/>
          <w:sz w:val="32"/>
          <w:szCs w:val="32"/>
        </w:rPr>
        <w:t>管理人</w:t>
      </w:r>
    </w:p>
    <w:p w14:paraId="588C580D">
      <w:pPr>
        <w:spacing w:line="460" w:lineRule="exact"/>
        <w:ind w:firstLine="640" w:firstLineChars="200"/>
        <w:rPr>
          <w:rFonts w:ascii="仿宋" w:hAnsi="仿宋" w:eastAsia="仿宋"/>
          <w:sz w:val="32"/>
          <w:szCs w:val="32"/>
        </w:rPr>
      </w:pPr>
      <w:r>
        <w:rPr>
          <w:rFonts w:hint="eastAsia" w:ascii="仿宋" w:hAnsi="仿宋" w:eastAsia="仿宋"/>
          <w:sz w:val="32"/>
          <w:szCs w:val="32"/>
        </w:rPr>
        <w:t>开户行：中国光大银行股份有限公司南宁园湖支行</w:t>
      </w:r>
    </w:p>
    <w:p w14:paraId="1B1AE229">
      <w:pPr>
        <w:spacing w:line="460" w:lineRule="exact"/>
        <w:ind w:firstLine="640" w:firstLineChars="200"/>
        <w:rPr>
          <w:rFonts w:ascii="仿宋" w:hAnsi="仿宋" w:eastAsia="仿宋"/>
          <w:sz w:val="32"/>
          <w:szCs w:val="32"/>
        </w:rPr>
      </w:pPr>
      <w:r>
        <w:rPr>
          <w:rFonts w:hint="eastAsia" w:ascii="仿宋" w:hAnsi="仿宋" w:eastAsia="仿宋"/>
          <w:sz w:val="32"/>
          <w:szCs w:val="32"/>
        </w:rPr>
        <w:t>账号：78850188000323347</w:t>
      </w:r>
    </w:p>
    <w:p w14:paraId="716306E6">
      <w:pPr>
        <w:spacing w:line="480" w:lineRule="exact"/>
        <w:ind w:firstLine="640" w:firstLineChars="200"/>
        <w:rPr>
          <w:rFonts w:ascii="仿宋" w:hAnsi="仿宋" w:eastAsia="仿宋"/>
          <w:sz w:val="32"/>
          <w:szCs w:val="32"/>
        </w:rPr>
      </w:pPr>
      <w:r>
        <w:rPr>
          <w:rFonts w:hint="eastAsia" w:ascii="仿宋" w:hAnsi="仿宋" w:eastAsia="仿宋"/>
          <w:sz w:val="32"/>
          <w:szCs w:val="32"/>
        </w:rPr>
        <w:t>6、选定投资人</w:t>
      </w:r>
    </w:p>
    <w:p w14:paraId="7F0C94BF">
      <w:pPr>
        <w:spacing w:line="480" w:lineRule="exact"/>
        <w:ind w:firstLine="640" w:firstLineChars="200"/>
        <w:rPr>
          <w:rFonts w:ascii="仿宋" w:hAnsi="仿宋" w:eastAsia="仿宋"/>
          <w:sz w:val="32"/>
          <w:szCs w:val="32"/>
        </w:rPr>
      </w:pPr>
      <w:r>
        <w:rPr>
          <w:rFonts w:hint="eastAsia" w:ascii="仿宋" w:hAnsi="仿宋" w:eastAsia="仿宋"/>
          <w:sz w:val="32"/>
          <w:szCs w:val="32"/>
        </w:rPr>
        <w:t>（1）意向投资人提交《重整投资方案及经营方案》后，管理人将根据对《重整投资方案及经营方案》的审查以及招募投资者的目的与投资者进行商业谈判或协商，并由评审组确定最终的重整投资人。</w:t>
      </w:r>
    </w:p>
    <w:p w14:paraId="20B35282">
      <w:pPr>
        <w:spacing w:line="480" w:lineRule="exact"/>
        <w:ind w:firstLine="640" w:firstLineChars="200"/>
        <w:rPr>
          <w:rFonts w:ascii="仿宋" w:hAnsi="仿宋" w:eastAsia="仿宋"/>
          <w:sz w:val="32"/>
          <w:szCs w:val="32"/>
        </w:rPr>
      </w:pPr>
      <w:r>
        <w:rPr>
          <w:rFonts w:hint="eastAsia" w:ascii="仿宋" w:hAnsi="仿宋" w:eastAsia="仿宋"/>
          <w:sz w:val="32"/>
          <w:szCs w:val="32"/>
        </w:rPr>
        <w:t>（2）如仅有一家意向投资人报名，且符合本公告要求的重整投资人条件的，管理人将根据其提交的《重整投资方案及经营方案》情况，由评审组决定是否确定其为重整投资人。如有两家或两家以上的意向投资人报名的，将采取竞争性谈判方式，由评审组以投票表决的方式确定一家重整投资人以及一家候补投资人。</w:t>
      </w:r>
    </w:p>
    <w:p w14:paraId="1A710717">
      <w:pPr>
        <w:spacing w:line="480" w:lineRule="exact"/>
        <w:ind w:firstLine="640" w:firstLineChars="200"/>
        <w:rPr>
          <w:rFonts w:ascii="仿宋" w:hAnsi="仿宋" w:eastAsia="仿宋"/>
          <w:sz w:val="32"/>
          <w:szCs w:val="32"/>
        </w:rPr>
      </w:pPr>
      <w:r>
        <w:rPr>
          <w:rFonts w:hint="eastAsia" w:ascii="仿宋" w:hAnsi="仿宋" w:eastAsia="仿宋"/>
          <w:sz w:val="32"/>
          <w:szCs w:val="32"/>
        </w:rPr>
        <w:t>7、签订重整投资协议</w:t>
      </w:r>
    </w:p>
    <w:p w14:paraId="7D29CA3A">
      <w:pPr>
        <w:spacing w:line="480" w:lineRule="exact"/>
        <w:ind w:firstLine="640" w:firstLineChars="200"/>
        <w:rPr>
          <w:rFonts w:ascii="仿宋" w:hAnsi="仿宋" w:eastAsia="仿宋"/>
          <w:sz w:val="32"/>
          <w:szCs w:val="32"/>
        </w:rPr>
      </w:pPr>
      <w:r>
        <w:rPr>
          <w:rFonts w:hint="eastAsia" w:ascii="仿宋" w:hAnsi="仿宋" w:eastAsia="仿宋"/>
          <w:sz w:val="32"/>
          <w:szCs w:val="32"/>
        </w:rPr>
        <w:t>（1）重整投资人选定后，应与管理人签订相应的《重整投资协议》并支付履约保证金六千万元（重整投资人已缴纳的尽职调查保证金、意向重整投资保证金可转为该履约保证金），以担保履行《重整投资协议》及经法院批准的《重整计划（草案）》。履约保证金可冲抵最后一笔重整投资款。</w:t>
      </w:r>
    </w:p>
    <w:p w14:paraId="47402136">
      <w:pPr>
        <w:spacing w:line="480" w:lineRule="exact"/>
        <w:ind w:firstLine="640" w:firstLineChars="200"/>
        <w:rPr>
          <w:rFonts w:ascii="仿宋" w:hAnsi="仿宋" w:eastAsia="仿宋"/>
          <w:sz w:val="32"/>
          <w:szCs w:val="32"/>
        </w:rPr>
      </w:pPr>
      <w:r>
        <w:rPr>
          <w:rFonts w:hint="eastAsia" w:ascii="仿宋" w:hAnsi="仿宋" w:eastAsia="仿宋"/>
          <w:sz w:val="32"/>
          <w:szCs w:val="32"/>
        </w:rPr>
        <w:t>（2）法院未批准《重整计划（草案）》时，管理人在15个工作日内全额无息退还上述</w:t>
      </w:r>
      <w:r>
        <w:rPr>
          <w:rFonts w:hint="eastAsia" w:ascii="仿宋" w:hAnsi="仿宋" w:eastAsia="仿宋"/>
          <w:sz w:val="32"/>
          <w:szCs w:val="32"/>
          <w:lang w:eastAsia="zh-Hans"/>
        </w:rPr>
        <w:t>履约</w:t>
      </w:r>
      <w:r>
        <w:rPr>
          <w:rFonts w:hint="eastAsia" w:ascii="仿宋" w:hAnsi="仿宋" w:eastAsia="仿宋"/>
          <w:sz w:val="32"/>
          <w:szCs w:val="32"/>
        </w:rPr>
        <w:t>保证金。</w:t>
      </w:r>
    </w:p>
    <w:p w14:paraId="0246DE20">
      <w:pPr>
        <w:spacing w:line="480" w:lineRule="exact"/>
        <w:ind w:firstLine="643" w:firstLineChars="200"/>
        <w:jc w:val="center"/>
        <w:rPr>
          <w:rFonts w:ascii="仿宋" w:hAnsi="仿宋" w:eastAsia="仿宋"/>
          <w:b/>
          <w:bCs/>
          <w:sz w:val="32"/>
          <w:szCs w:val="32"/>
        </w:rPr>
      </w:pPr>
    </w:p>
    <w:p w14:paraId="73C42C5E">
      <w:pPr>
        <w:spacing w:line="480" w:lineRule="exact"/>
        <w:ind w:firstLine="3614" w:firstLineChars="1000"/>
        <w:rPr>
          <w:rFonts w:ascii="仿宋" w:hAnsi="仿宋" w:eastAsia="仿宋"/>
          <w:b/>
          <w:bCs/>
          <w:sz w:val="36"/>
          <w:szCs w:val="36"/>
        </w:rPr>
      </w:pPr>
      <w:r>
        <w:rPr>
          <w:rFonts w:hint="eastAsia" w:ascii="仿宋" w:hAnsi="仿宋" w:eastAsia="仿宋"/>
          <w:b/>
          <w:bCs/>
          <w:sz w:val="36"/>
          <w:szCs w:val="36"/>
        </w:rPr>
        <w:t>六、声明</w:t>
      </w:r>
    </w:p>
    <w:p w14:paraId="47E6FB93">
      <w:pPr>
        <w:spacing w:line="480" w:lineRule="exact"/>
        <w:ind w:firstLine="643" w:firstLineChars="200"/>
        <w:jc w:val="center"/>
        <w:rPr>
          <w:rFonts w:ascii="仿宋" w:hAnsi="仿宋" w:eastAsia="仿宋"/>
          <w:b/>
          <w:bCs/>
          <w:sz w:val="32"/>
          <w:szCs w:val="32"/>
        </w:rPr>
      </w:pPr>
    </w:p>
    <w:p w14:paraId="034E16B0">
      <w:pPr>
        <w:spacing w:line="480" w:lineRule="exact"/>
        <w:ind w:firstLine="640" w:firstLineChars="200"/>
        <w:rPr>
          <w:rFonts w:ascii="仿宋" w:hAnsi="仿宋" w:eastAsia="仿宋"/>
          <w:sz w:val="32"/>
          <w:szCs w:val="32"/>
          <w:lang w:eastAsia="zh-Hans"/>
        </w:rPr>
      </w:pPr>
      <w:r>
        <w:rPr>
          <w:rFonts w:hint="eastAsia" w:ascii="仿宋" w:hAnsi="仿宋" w:eastAsia="仿宋"/>
          <w:sz w:val="32"/>
          <w:szCs w:val="32"/>
        </w:rPr>
        <w:t>1、</w:t>
      </w:r>
      <w:r>
        <w:rPr>
          <w:rFonts w:hint="eastAsia" w:ascii="仿宋" w:hAnsi="仿宋" w:eastAsia="仿宋"/>
          <w:sz w:val="32"/>
          <w:szCs w:val="32"/>
          <w:lang w:eastAsia="zh-Hans"/>
        </w:rPr>
        <w:t>本招募公告中所披露信息均为阶段性调查所得数据，仅供</w:t>
      </w:r>
      <w:r>
        <w:rPr>
          <w:rFonts w:hint="eastAsia" w:ascii="仿宋" w:hAnsi="仿宋" w:eastAsia="仿宋"/>
          <w:sz w:val="32"/>
          <w:szCs w:val="32"/>
        </w:rPr>
        <w:t>意向投资人</w:t>
      </w:r>
      <w:r>
        <w:rPr>
          <w:rFonts w:hint="eastAsia" w:ascii="仿宋" w:hAnsi="仿宋" w:eastAsia="仿宋"/>
          <w:sz w:val="32"/>
          <w:szCs w:val="32"/>
          <w:lang w:eastAsia="zh-Hans"/>
        </w:rPr>
        <w:t>投资参考，不构成管理人对</w:t>
      </w:r>
      <w:r>
        <w:rPr>
          <w:rFonts w:hint="eastAsia" w:ascii="仿宋" w:hAnsi="仿宋" w:eastAsia="仿宋"/>
          <w:sz w:val="32"/>
          <w:szCs w:val="32"/>
        </w:rPr>
        <w:t>意向投资人</w:t>
      </w:r>
      <w:r>
        <w:rPr>
          <w:rFonts w:hint="eastAsia" w:ascii="仿宋" w:hAnsi="仿宋" w:eastAsia="仿宋"/>
          <w:sz w:val="32"/>
          <w:szCs w:val="32"/>
          <w:lang w:eastAsia="zh-Hans"/>
        </w:rPr>
        <w:t>的承诺或保证，不作为投资建议。本公告不能替代</w:t>
      </w:r>
      <w:r>
        <w:rPr>
          <w:rFonts w:hint="eastAsia" w:ascii="仿宋" w:hAnsi="仿宋" w:eastAsia="仿宋"/>
          <w:sz w:val="32"/>
          <w:szCs w:val="32"/>
        </w:rPr>
        <w:t>意向投资人</w:t>
      </w:r>
      <w:r>
        <w:rPr>
          <w:rFonts w:hint="eastAsia" w:ascii="仿宋" w:hAnsi="仿宋" w:eastAsia="仿宋"/>
          <w:sz w:val="32"/>
          <w:szCs w:val="32"/>
          <w:lang w:eastAsia="zh-Hans"/>
        </w:rPr>
        <w:t>的尽职调查，</w:t>
      </w:r>
      <w:r>
        <w:rPr>
          <w:rFonts w:hint="eastAsia" w:ascii="仿宋" w:hAnsi="仿宋" w:eastAsia="仿宋"/>
          <w:sz w:val="32"/>
          <w:szCs w:val="32"/>
        </w:rPr>
        <w:t>意向投资人</w:t>
      </w:r>
      <w:r>
        <w:rPr>
          <w:rFonts w:hint="eastAsia" w:ascii="仿宋" w:hAnsi="仿宋" w:eastAsia="仿宋"/>
          <w:sz w:val="32"/>
          <w:szCs w:val="32"/>
          <w:lang w:eastAsia="zh-Hans"/>
        </w:rPr>
        <w:t>除参考本公告内容外，需自行决定是否聘请专业投资顾问或法律顾问进行尽职调查、出具投资意见。</w:t>
      </w:r>
      <w:r>
        <w:rPr>
          <w:rFonts w:hint="eastAsia" w:ascii="仿宋" w:hAnsi="仿宋" w:eastAsia="仿宋"/>
          <w:sz w:val="32"/>
          <w:szCs w:val="32"/>
        </w:rPr>
        <w:t>意向投资人</w:t>
      </w:r>
      <w:r>
        <w:rPr>
          <w:rFonts w:hint="eastAsia" w:ascii="仿宋" w:hAnsi="仿宋" w:eastAsia="仿宋"/>
          <w:sz w:val="32"/>
          <w:szCs w:val="32"/>
          <w:lang w:eastAsia="zh-Hans"/>
        </w:rPr>
        <w:t>应独立判断、理解以进行决策，自担风险。</w:t>
      </w:r>
    </w:p>
    <w:p w14:paraId="65C92112">
      <w:pPr>
        <w:spacing w:line="480" w:lineRule="exact"/>
        <w:ind w:firstLine="640" w:firstLineChars="200"/>
        <w:rPr>
          <w:rFonts w:ascii="仿宋" w:hAnsi="仿宋" w:eastAsia="仿宋"/>
          <w:sz w:val="32"/>
          <w:szCs w:val="32"/>
          <w:lang w:eastAsia="zh-Hans"/>
        </w:rPr>
      </w:pPr>
      <w:r>
        <w:rPr>
          <w:rFonts w:hint="eastAsia" w:ascii="仿宋" w:hAnsi="仿宋" w:eastAsia="仿宋"/>
          <w:sz w:val="32"/>
          <w:szCs w:val="32"/>
        </w:rPr>
        <w:t>2、意向投资人</w:t>
      </w:r>
      <w:r>
        <w:rPr>
          <w:rFonts w:hint="eastAsia" w:ascii="仿宋" w:hAnsi="仿宋" w:eastAsia="仿宋"/>
          <w:sz w:val="32"/>
          <w:szCs w:val="32"/>
          <w:lang w:eastAsia="zh-Hans"/>
        </w:rPr>
        <w:t>提交报名材料即视为完全同意本公告所确定的招募条件及流程，并同意承担所有投资风险。</w:t>
      </w:r>
    </w:p>
    <w:p w14:paraId="7006A626">
      <w:pPr>
        <w:spacing w:line="480" w:lineRule="exact"/>
        <w:ind w:firstLine="640" w:firstLineChars="200"/>
        <w:rPr>
          <w:rFonts w:ascii="仿宋" w:hAnsi="仿宋" w:eastAsia="仿宋"/>
          <w:sz w:val="32"/>
          <w:szCs w:val="32"/>
          <w:lang w:eastAsia="zh-Hans"/>
        </w:rPr>
      </w:pPr>
      <w:r>
        <w:rPr>
          <w:rFonts w:hint="eastAsia" w:ascii="仿宋" w:hAnsi="仿宋" w:eastAsia="仿宋"/>
          <w:sz w:val="32"/>
          <w:szCs w:val="32"/>
        </w:rPr>
        <w:t>3、意向投资人</w:t>
      </w:r>
      <w:r>
        <w:rPr>
          <w:rFonts w:hint="eastAsia" w:ascii="仿宋" w:hAnsi="仿宋" w:eastAsia="仿宋"/>
          <w:sz w:val="32"/>
          <w:szCs w:val="32"/>
          <w:lang w:eastAsia="zh-Hans"/>
        </w:rPr>
        <w:t>应自行承担因市场或政策变化等产生的相关投资风险。</w:t>
      </w:r>
    </w:p>
    <w:p w14:paraId="4A210540">
      <w:pPr>
        <w:spacing w:line="480" w:lineRule="exact"/>
        <w:ind w:firstLine="640" w:firstLineChars="200"/>
        <w:rPr>
          <w:rFonts w:ascii="仿宋" w:hAnsi="仿宋" w:eastAsia="仿宋"/>
          <w:sz w:val="32"/>
          <w:szCs w:val="32"/>
          <w:lang w:eastAsia="zh-Hans"/>
        </w:rPr>
      </w:pPr>
      <w:r>
        <w:rPr>
          <w:rFonts w:hint="eastAsia" w:ascii="仿宋" w:hAnsi="仿宋" w:eastAsia="仿宋"/>
          <w:sz w:val="32"/>
          <w:szCs w:val="32"/>
        </w:rPr>
        <w:t>4、</w:t>
      </w:r>
      <w:r>
        <w:rPr>
          <w:rFonts w:hint="eastAsia" w:ascii="仿宋" w:hAnsi="仿宋" w:eastAsia="仿宋"/>
          <w:sz w:val="32"/>
          <w:szCs w:val="32"/>
          <w:lang w:eastAsia="zh-Hans"/>
        </w:rPr>
        <w:t>本公告不适用《中华人民共和国招标投标法》，管理人有权根据投资人招募进程调整招募流程和有关条件。</w:t>
      </w:r>
    </w:p>
    <w:p w14:paraId="6FD3556B">
      <w:pPr>
        <w:spacing w:line="480" w:lineRule="exact"/>
        <w:ind w:firstLine="640" w:firstLineChars="200"/>
        <w:rPr>
          <w:rFonts w:ascii="仿宋" w:hAnsi="仿宋" w:eastAsia="仿宋"/>
          <w:sz w:val="32"/>
          <w:szCs w:val="32"/>
          <w:lang w:eastAsia="zh-Hans"/>
        </w:rPr>
      </w:pPr>
      <w:r>
        <w:rPr>
          <w:rFonts w:hint="eastAsia" w:ascii="仿宋" w:hAnsi="仿宋" w:eastAsia="仿宋"/>
          <w:sz w:val="32"/>
          <w:szCs w:val="32"/>
        </w:rPr>
        <w:t>5、</w:t>
      </w:r>
      <w:r>
        <w:rPr>
          <w:rFonts w:hint="eastAsia" w:ascii="仿宋" w:hAnsi="仿宋" w:eastAsia="仿宋"/>
          <w:sz w:val="32"/>
          <w:szCs w:val="32"/>
          <w:lang w:eastAsia="zh-Hans"/>
        </w:rPr>
        <w:t>本公告由管理人负责解释。</w:t>
      </w:r>
    </w:p>
    <w:p w14:paraId="0FDD91D4">
      <w:pPr>
        <w:spacing w:line="480" w:lineRule="exact"/>
        <w:ind w:firstLine="640" w:firstLineChars="200"/>
      </w:pPr>
      <w:r>
        <w:rPr>
          <w:rFonts w:hint="eastAsia" w:ascii="仿宋" w:hAnsi="仿宋" w:eastAsia="仿宋"/>
          <w:sz w:val="32"/>
          <w:szCs w:val="32"/>
          <w:lang w:eastAsia="zh-Hans"/>
        </w:rPr>
        <w:t>特此公告。</w:t>
      </w:r>
    </w:p>
    <w:p w14:paraId="423035FA">
      <w:pPr>
        <w:spacing w:line="460" w:lineRule="exact"/>
        <w:ind w:firstLine="3840" w:firstLineChars="1200"/>
        <w:rPr>
          <w:rFonts w:ascii="仿宋" w:hAnsi="仿宋" w:eastAsia="仿宋"/>
          <w:sz w:val="32"/>
          <w:szCs w:val="32"/>
        </w:rPr>
      </w:pPr>
      <w:r>
        <w:rPr>
          <w:rFonts w:hint="eastAsia" w:ascii="仿宋" w:hAnsi="仿宋" w:eastAsia="仿宋"/>
          <w:sz w:val="32"/>
          <w:szCs w:val="32"/>
        </w:rPr>
        <w:t>南宁百利物业开发有限公司管理人</w:t>
      </w:r>
    </w:p>
    <w:p w14:paraId="4E9387FE">
      <w:pPr>
        <w:spacing w:line="460" w:lineRule="exact"/>
        <w:rPr>
          <w:rFonts w:ascii="仿宋" w:hAnsi="仿宋" w:eastAsia="仿宋"/>
          <w:color w:val="auto"/>
          <w:sz w:val="32"/>
          <w:szCs w:val="32"/>
        </w:rPr>
      </w:pPr>
      <w:r>
        <w:rPr>
          <w:rFonts w:hint="eastAsia" w:ascii="仿宋" w:hAnsi="仿宋" w:eastAsia="仿宋"/>
          <w:sz w:val="32"/>
          <w:szCs w:val="32"/>
        </w:rPr>
        <w:t xml:space="preserve">                             </w:t>
      </w:r>
      <w:r>
        <w:rPr>
          <w:rFonts w:hint="eastAsia" w:ascii="仿宋" w:hAnsi="仿宋" w:eastAsia="仿宋"/>
          <w:color w:val="auto"/>
          <w:sz w:val="32"/>
          <w:szCs w:val="32"/>
        </w:rPr>
        <w:t xml:space="preserve"> 2026年</w:t>
      </w:r>
      <w:r>
        <w:rPr>
          <w:rFonts w:hint="eastAsia" w:ascii="仿宋" w:hAnsi="仿宋" w:eastAsia="仿宋"/>
          <w:color w:val="auto"/>
          <w:sz w:val="32"/>
          <w:szCs w:val="32"/>
          <w:lang w:val="en-US" w:eastAsia="zh-CN"/>
        </w:rPr>
        <w:t>10</w:t>
      </w:r>
      <w:r>
        <w:rPr>
          <w:rFonts w:hint="eastAsia" w:ascii="仿宋" w:hAnsi="仿宋" w:eastAsia="仿宋"/>
          <w:color w:val="auto"/>
          <w:sz w:val="32"/>
          <w:szCs w:val="32"/>
        </w:rPr>
        <w:t>月</w:t>
      </w:r>
      <w:r>
        <w:rPr>
          <w:rFonts w:hint="eastAsia" w:ascii="仿宋" w:hAnsi="仿宋" w:eastAsia="仿宋"/>
          <w:color w:val="auto"/>
          <w:sz w:val="32"/>
          <w:szCs w:val="32"/>
          <w:lang w:val="en-US" w:eastAsia="zh-CN"/>
        </w:rPr>
        <w:t>19</w:t>
      </w:r>
      <w:r>
        <w:rPr>
          <w:rFonts w:hint="eastAsia" w:ascii="仿宋" w:hAnsi="仿宋" w:eastAsia="仿宋"/>
          <w:color w:val="auto"/>
          <w:sz w:val="32"/>
          <w:szCs w:val="32"/>
        </w:rPr>
        <w:t>日</w:t>
      </w:r>
    </w:p>
    <w:sectPr>
      <w:footerReference r:id="rId3" w:type="default"/>
      <w:pgSz w:w="11906" w:h="16838"/>
      <w:pgMar w:top="1327" w:right="1406" w:bottom="1327" w:left="140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B719B">
    <w:pPr>
      <w:pStyle w:val="2"/>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4097" name="文本框 1"/>
              <wp:cNvGraphicFramePr/>
              <a:graphic xmlns:a="http://schemas.openxmlformats.org/drawingml/2006/main">
                <a:graphicData uri="http://schemas.microsoft.com/office/word/2010/wordprocessingShape">
                  <wps:wsp>
                    <wps:cNvSpPr/>
                    <wps:spPr>
                      <a:xfrm>
                        <a:off x="0" y="0"/>
                        <a:ext cx="116205" cy="139700"/>
                      </a:xfrm>
                      <a:prstGeom prst="rect">
                        <a:avLst/>
                      </a:prstGeom>
                      <a:ln>
                        <a:noFill/>
                      </a:ln>
                    </wps:spPr>
                    <wps:txbx>
                      <w:txbxContent>
                        <w:p w14:paraId="23ACB900">
                          <w:pPr>
                            <w:pStyle w:val="2"/>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 o:spid="_x0000_s1026" o:spt="1"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cXQ6n9EAAAADAQAADwAAAAAAAAABACAAAAAiAAAAZHJzL2Rv&#10;d25yZXYueG1sUEsBAhQAFAAAAAgAh07iQEQv1QfPAQAAkAMAAA4AAAAAAAAAAQAgAAAAIAEAAGRy&#10;cy9lMm9Eb2MueG1sUEsFBgAAAAAGAAYAWQEAAGEFAAAAAA==&#10;">
              <v:fill on="f" focussize="0,0"/>
              <v:stroke on="f"/>
              <v:imagedata o:title=""/>
              <o:lock v:ext="edit" aspectratio="f"/>
              <v:textbox inset="0mm,0mm,0mm,0mm" style="mso-fit-shape-to-text:t;">
                <w:txbxContent>
                  <w:p w14:paraId="23ACB900">
                    <w:pPr>
                      <w:pStyle w:val="2"/>
                    </w:pPr>
                    <w:r>
                      <w:fldChar w:fldCharType="begin"/>
                    </w:r>
                    <w:r>
                      <w:instrText xml:space="preserve"> PAGE  \* MERGEFORMAT </w:instrText>
                    </w:r>
                    <w:r>
                      <w:fldChar w:fldCharType="separate"/>
                    </w:r>
                    <w:r>
                      <w:t>1</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F54D23"/>
    <w:multiLevelType w:val="singleLevel"/>
    <w:tmpl w:val="B9F54D23"/>
    <w:lvl w:ilvl="0" w:tentative="0">
      <w:start w:val="1"/>
      <w:numFmt w:val="decimal"/>
      <w:suff w:val="nothing"/>
      <w:lvlText w:val="（%1）"/>
      <w:lvlJc w:val="left"/>
    </w:lvl>
  </w:abstractNum>
  <w:abstractNum w:abstractNumId="1">
    <w:nsid w:val="00000003"/>
    <w:multiLevelType w:val="singleLevel"/>
    <w:tmpl w:val="00000003"/>
    <w:lvl w:ilvl="0" w:tentative="0">
      <w:start w:val="2"/>
      <w:numFmt w:val="decimal"/>
      <w:suff w:val="nothing"/>
      <w:lvlText w:val="%1、"/>
      <w:lvlJc w:val="left"/>
    </w:lvl>
  </w:abstractNum>
  <w:abstractNum w:abstractNumId="2">
    <w:nsid w:val="00000005"/>
    <w:multiLevelType w:val="singleLevel"/>
    <w:tmpl w:val="00000005"/>
    <w:lvl w:ilvl="0" w:tentative="0">
      <w:start w:val="2"/>
      <w:numFmt w:val="decimal"/>
      <w:suff w:val="nothing"/>
      <w:lvlText w:val="（%1）"/>
      <w:lvlJc w:val="left"/>
    </w:lvl>
  </w:abstractNum>
  <w:abstractNum w:abstractNumId="3">
    <w:nsid w:val="173DF00A"/>
    <w:multiLevelType w:val="singleLevel"/>
    <w:tmpl w:val="173DF00A"/>
    <w:lvl w:ilvl="0" w:tentative="0">
      <w:start w:val="1"/>
      <w:numFmt w:val="decimal"/>
      <w:suff w:val="nothing"/>
      <w:lvlText w:val="%1、"/>
      <w:lvlJc w:val="left"/>
    </w:lvl>
  </w:abstractNum>
  <w:abstractNum w:abstractNumId="4">
    <w:nsid w:val="3BDC92FE"/>
    <w:multiLevelType w:val="singleLevel"/>
    <w:tmpl w:val="3BDC92FE"/>
    <w:lvl w:ilvl="0" w:tentative="0">
      <w:start w:val="4"/>
      <w:numFmt w:val="chineseCounting"/>
      <w:suff w:val="nothing"/>
      <w:lvlText w:val="%1、"/>
      <w:lvlJc w:val="left"/>
      <w:rPr>
        <w:rFonts w:hint="eastAsia"/>
      </w:rPr>
    </w:lvl>
  </w:abstractNum>
  <w:abstractNum w:abstractNumId="5">
    <w:nsid w:val="4824583B"/>
    <w:multiLevelType w:val="singleLevel"/>
    <w:tmpl w:val="4824583B"/>
    <w:lvl w:ilvl="0" w:tentative="0">
      <w:start w:val="1"/>
      <w:numFmt w:val="chineseCounting"/>
      <w:suff w:val="nothing"/>
      <w:lvlText w:val="%1、"/>
      <w:lvlJc w:val="left"/>
      <w:rPr>
        <w:rFonts w:hint="eastAsia"/>
      </w:rPr>
    </w:lvl>
  </w:abstractNum>
  <w:num w:numId="1">
    <w:abstractNumId w:val="5"/>
  </w:num>
  <w:num w:numId="2">
    <w:abstractNumId w:val="0"/>
  </w:num>
  <w:num w:numId="3">
    <w:abstractNumId w:val="1"/>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DD97343"/>
    <w:rsid w:val="59F16433"/>
    <w:rsid w:val="6AEF3FA7"/>
    <w:rsid w:val="F7FB12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仿宋"/>
      <w:sz w:val="28"/>
      <w:szCs w:val="28"/>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Autospacing="1" w:afterAutospacing="1"/>
      <w:jc w:val="left"/>
    </w:pPr>
    <w:rPr>
      <w:rFonts w:cs="Times New Roman"/>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9">
    <w:name w:val="List Paragraph"/>
    <w:basedOn w:val="1"/>
    <w:qFormat/>
    <w:uiPriority w:val="99"/>
    <w:pPr>
      <w:ind w:firstLine="420" w:firstLineChars="200"/>
    </w:pPr>
  </w:style>
  <w:style w:type="paragraph" w:customStyle="1" w:styleId="10">
    <w:name w:val="正文 A"/>
    <w:qFormat/>
    <w:uiPriority w:val="0"/>
    <w:pPr>
      <w:widowControl w:val="0"/>
      <w:jc w:val="both"/>
    </w:pPr>
    <w:rPr>
      <w:rFonts w:ascii="Calibri" w:hAnsi="Calibri" w:eastAsia="Calibri" w:cs="Calibri"/>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645</Words>
  <Characters>3680</Characters>
  <Lines>30</Lines>
  <Paragraphs>8</Paragraphs>
  <TotalTime>5</TotalTime>
  <ScaleCrop>false</ScaleCrop>
  <LinksUpToDate>false</LinksUpToDate>
  <CharactersWithSpaces>4317</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2026-10-19T18:40:00Z</dcterms:created>
  <dc:creator>师</dc:creator>
  <cp:lastModifiedBy>黄杰律师</cp:lastModifiedBy>
  <dcterms:modified xsi:type="dcterms:W3CDTF">2026-10-19T18:38:39Z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EC597F874EA1F6731283D56AAE0309AE_43</vt:lpwstr>
  </property>
  <property fmtid="{D5CDD505-2E9C-101B-9397-08002B2CF9AE}" pid="4" name="KSOTemplateDocerSaveRecord">
    <vt:lpwstr>eyJoZGlkIjoiYmY5NTJkNTRkMDdkNWM2ODM1NDFhNTZjODA0ODUxZTYifQ==</vt:lpwstr>
  </property>
</Properties>
</file>