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66B62B">
      <w:pPr>
        <w:pStyle w:val="31"/>
        <w:widowControl/>
      </w:pPr>
      <mc:AlternateContent>
        <mc:Choice Requires="wpsCustomData">
          <wpsCustomData:docfieldStart id="0" docfieldname="标题_1" hidden="0" print="1" readonly="0" index="2"/>
        </mc:Choice>
      </mc:AlternateContent>
      <w:r>
        <w:t>河南三色鸽乳业有限公司预重整案</w:t>
      </w:r>
    </w:p>
    <w:p w14:paraId="54C2958D">
      <w:pPr>
        <w:pStyle w:val="31"/>
        <w:widowControl/>
      </w:pPr>
      <w:r>
        <w:t>债权申报指引</w:t>
      </w:r>
      <mc:AlternateContent>
        <mc:Choice Requires="wpsCustomData">
          <wpsCustomData:docfieldEnd id="0"/>
        </mc:Choice>
      </mc:AlternateContent>
    </w:p>
    <w:p w14:paraId="32C2257D">
      <w:pPr>
        <w:pStyle w:val="19"/>
        <w:bidi w:val="0"/>
        <w:spacing w:beforeAutospacing="0" w:afterAutospacing="0" w:line="300" w:lineRule="exact"/>
      </w:pPr>
    </w:p>
    <w:p w14:paraId="6843FCD0">
      <w:pPr>
        <w:pStyle w:val="164"/>
        <w:widowControl/>
        <w:rPr>
          <w:rFonts w:ascii="Times New Roman" w:hAnsi="Times New Roman" w:eastAsia="仿宋_GB2312" w:cs="仿宋_GB2312"/>
          <w:sz w:val="32"/>
          <w:szCs w:val="32"/>
        </w:rPr>
      </w:pPr>
      <mc:AlternateContent>
        <mc:Choice Requires="wpsCustomData">
          <wpsCustomData:docfieldStart id="1" docfieldname="主送机关_1" hidden="0" print="1" readonly="0" index="4"/>
        </mc:Choice>
      </mc:AlternateContent>
      <w:r>
        <w:rPr>
          <w:rFonts w:ascii="Times New Roman" w:hAnsi="Times New Roman" w:eastAsia="仿宋_GB2312" w:cs="仿宋_GB2312"/>
          <w:sz w:val="32"/>
          <w:szCs w:val="32"/>
        </w:rPr>
        <w:t>尊敬的债权人</w:t>
      </w:r>
      <mc:AlternateContent>
        <mc:Choice Requires="wpsCustomData">
          <wpsCustomData:docfieldEnd id="1"/>
        </mc:Choice>
      </mc:AlternateContent>
      <w:r>
        <w:rPr>
          <w:rFonts w:ascii="Times New Roman" w:hAnsi="Times New Roman" w:eastAsia="仿宋_GB2312" w:cs="仿宋_GB2312"/>
          <w:sz w:val="32"/>
          <w:szCs w:val="32"/>
        </w:rPr>
        <w:t>：</w:t>
      </w:r>
    </w:p>
    <w:p w14:paraId="06DB777B">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河南三色鸽乳业有限公司（以下简称＂乳业公司＂）系河南省农业产业化重点龙头企业，因不能清偿到期债务且明显缺乏清偿能力，但具备重整价值与重整可行性</w:t>
      </w:r>
      <w:r>
        <w:rPr>
          <w:rFonts w:hint="eastAsia" w:cs="仿宋_GB2312"/>
          <w:sz w:val="32"/>
          <w:szCs w:val="32"/>
          <w:lang w:eastAsia="zh-CN"/>
        </w:rPr>
        <w:t>。</w:t>
      </w:r>
      <w:r>
        <w:rPr>
          <w:rFonts w:hint="eastAsia" w:ascii="Times New Roman" w:hAnsi="Times New Roman" w:eastAsia="仿宋_GB2312" w:cs="仿宋_GB2312"/>
          <w:sz w:val="32"/>
          <w:szCs w:val="32"/>
          <w:lang w:val="en-US" w:eastAsia="zh-CN"/>
        </w:rPr>
        <w:t>为帮企业纾困，</w:t>
      </w:r>
      <w:r>
        <w:rPr>
          <w:rFonts w:ascii="Times New Roman" w:hAnsi="Times New Roman" w:eastAsia="仿宋_GB2312" w:cs="仿宋_GB2312"/>
          <w:sz w:val="32"/>
          <w:szCs w:val="32"/>
        </w:rPr>
        <w:t>南阳市宛城区人民政府</w:t>
      </w:r>
      <w:r>
        <w:rPr>
          <w:rFonts w:hint="eastAsia" w:ascii="Times New Roman" w:hAnsi="Times New Roman" w:eastAsia="仿宋_GB2312" w:cs="仿宋_GB2312"/>
          <w:sz w:val="32"/>
          <w:szCs w:val="32"/>
          <w:lang w:val="en-US" w:eastAsia="zh-CN"/>
        </w:rPr>
        <w:t>于2026年1月19日成立河南三色鸽乳业有限公司</w:t>
      </w:r>
      <w:r>
        <w:rPr>
          <w:rFonts w:ascii="Times New Roman" w:hAnsi="Times New Roman" w:eastAsia="仿宋_GB2312" w:cs="仿宋_GB2312"/>
          <w:sz w:val="32"/>
          <w:szCs w:val="32"/>
        </w:rPr>
        <w:t>预重整工作专班（以下简称＂工作专班＂）</w:t>
      </w:r>
      <w:r>
        <w:rPr>
          <w:rFonts w:hint="eastAsia" w:cs="仿宋_GB2312"/>
          <w:sz w:val="32"/>
          <w:szCs w:val="32"/>
          <w:lang w:eastAsia="zh-CN"/>
        </w:rPr>
        <w:t>，</w:t>
      </w:r>
      <w:r>
        <w:rPr>
          <w:rFonts w:hint="eastAsia" w:cs="仿宋_GB2312"/>
          <w:sz w:val="32"/>
          <w:szCs w:val="32"/>
          <w:lang w:val="en-US" w:eastAsia="zh-CN"/>
        </w:rPr>
        <w:t>负责协调</w:t>
      </w:r>
      <w:r>
        <w:rPr>
          <w:rFonts w:ascii="Times New Roman" w:hAnsi="Times New Roman" w:eastAsia="仿宋_GB2312" w:cs="仿宋_GB2312"/>
          <w:sz w:val="32"/>
          <w:szCs w:val="32"/>
        </w:rPr>
        <w:t>河南三色鸽乳业有限公司预重整</w:t>
      </w:r>
      <w:r>
        <w:rPr>
          <w:rFonts w:hint="eastAsia" w:cs="仿宋_GB2312"/>
          <w:sz w:val="32"/>
          <w:szCs w:val="32"/>
          <w:lang w:val="en-US" w:eastAsia="zh-CN"/>
        </w:rPr>
        <w:t>相关</w:t>
      </w:r>
      <w:r>
        <w:rPr>
          <w:rFonts w:ascii="Times New Roman" w:hAnsi="Times New Roman" w:eastAsia="仿宋_GB2312" w:cs="仿宋_GB2312"/>
          <w:sz w:val="32"/>
          <w:szCs w:val="32"/>
        </w:rPr>
        <w:t>工作</w:t>
      </w:r>
      <w:r>
        <w:rPr>
          <w:rFonts w:hint="eastAsia" w:cs="仿宋_GB2312"/>
          <w:sz w:val="32"/>
          <w:szCs w:val="32"/>
          <w:lang w:eastAsia="zh-CN"/>
        </w:rPr>
        <w:t>。</w:t>
      </w:r>
      <w:r>
        <w:rPr>
          <w:rFonts w:ascii="Times New Roman" w:hAnsi="Times New Roman" w:eastAsia="仿宋_GB2312" w:cs="仿宋_GB2312"/>
          <w:b w:val="0"/>
          <w:bCs w:val="0"/>
          <w:sz w:val="32"/>
          <w:szCs w:val="32"/>
        </w:rPr>
        <w:t>2026年1月27日</w:t>
      </w:r>
      <w:r>
        <w:rPr>
          <w:rFonts w:hint="eastAsia" w:cs="仿宋_GB2312"/>
          <w:b w:val="0"/>
          <w:bCs w:val="0"/>
          <w:sz w:val="32"/>
          <w:szCs w:val="32"/>
          <w:lang w:eastAsia="zh-CN"/>
        </w:rPr>
        <w:t>，</w:t>
      </w:r>
      <w:r>
        <w:rPr>
          <w:rFonts w:ascii="Times New Roman" w:hAnsi="Times New Roman" w:eastAsia="仿宋_GB2312" w:cs="仿宋_GB2312"/>
          <w:b w:val="0"/>
          <w:bCs w:val="0"/>
          <w:sz w:val="32"/>
          <w:szCs w:val="32"/>
        </w:rPr>
        <w:t>由陕西同泰律师事务所、河南祜亚律师事务所组成联合体</w:t>
      </w:r>
      <w:r>
        <w:rPr>
          <w:rFonts w:ascii="Times New Roman" w:hAnsi="Times New Roman" w:eastAsia="仿宋_GB2312" w:cs="仿宋_GB2312"/>
          <w:sz w:val="32"/>
          <w:szCs w:val="32"/>
        </w:rPr>
        <w:t>担任河南三色鸽乳业有限公司预重整临时管理人（以下简称＂临时管理人＂），负责预重整阶段各项工作。现为明确债权申报有关事项，帮助各位债权人顺利申报债权，临时管理人特就债权申报相关问题作如下指引，请各位债权人按照指引内容尽快申报债权。</w:t>
      </w:r>
    </w:p>
    <w:p w14:paraId="475112C1">
      <w:pPr>
        <w:pStyle w:val="3"/>
        <w:widowControl/>
        <w:numPr>
          <w:ilvl w:val="0"/>
          <w:numId w:val="0"/>
        </w:numPr>
        <w:ind w:left="0" w:leftChars="0" w:firstLine="640"/>
        <w:rPr>
          <w:b w:val="0"/>
        </w:rPr>
      </w:pPr>
      <w:r>
        <w:rPr>
          <w:rFonts w:hint="eastAsia"/>
          <w:lang w:eastAsia="zh-CN"/>
        </w:rPr>
        <w:t>一、</w:t>
      </w:r>
      <w:r>
        <w:rPr>
          <w:rFonts w:hint="eastAsia" w:ascii="仿宋" w:hAnsi="仿宋" w:eastAsia="仿宋" w:cs="仿宋"/>
          <w:kern w:val="44"/>
          <w:sz w:val="32"/>
          <w:szCs w:val="32"/>
          <w:lang w:eastAsia="zh-CN"/>
        </w:rPr>
        <w:t xml:space="preserve"> </w:t>
      </w:r>
      <w:r>
        <w:t>重要提示</w:t>
      </w:r>
    </w:p>
    <w:p w14:paraId="1C460E89">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（本部分请务必仔细阅读！）</w:t>
      </w:r>
    </w:p>
    <w:p w14:paraId="4FEAC816">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为保障各债权人合法权益，实现债权人与临时管理人的高效沟通，临时管理人将申报中常见易疏漏问题作重要提示如下：</w:t>
      </w:r>
    </w:p>
    <w:p w14:paraId="3FF51EB4">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（一）</w:t>
      </w:r>
      <w:r>
        <w:rPr>
          <w:rFonts w:hint="eastAsia" w:ascii="仿宋" w:hAnsi="仿宋" w:eastAsia="仿宋" w:cs="仿宋"/>
          <w:sz w:val="32"/>
          <w:szCs w:val="32"/>
          <w:lang w:eastAsia="zh-CN"/>
        </w:rPr>
        <w:t xml:space="preserve"> </w:t>
      </w:r>
      <w:r>
        <w:t>债权申报期限</w:t>
      </w:r>
    </w:p>
    <w:p w14:paraId="259205FF">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债权申报期至</w:t>
      </w:r>
      <w:r>
        <w:rPr>
          <w:rFonts w:ascii="Times New Roman" w:hAnsi="Times New Roman" w:eastAsia="仿宋_GB2312" w:cs="仿宋_GB2312"/>
          <w:b/>
          <w:sz w:val="32"/>
          <w:szCs w:val="32"/>
        </w:rPr>
        <w:t>2026年</w:t>
      </w:r>
      <w:bookmarkStart w:id="0" w:name="_GoBack"/>
      <w:bookmarkEnd w:id="0"/>
      <w:r>
        <w:rPr>
          <w:rFonts w:hint="eastAsia" w:cs="仿宋_GB2312"/>
          <w:b/>
          <w:sz w:val="32"/>
          <w:szCs w:val="32"/>
          <w:lang w:val="en-US" w:eastAsia="zh-CN"/>
        </w:rPr>
        <w:t>11月17</w:t>
      </w:r>
      <w:r>
        <w:rPr>
          <w:rFonts w:ascii="Times New Roman" w:hAnsi="Times New Roman" w:eastAsia="仿宋_GB2312" w:cs="仿宋_GB2312"/>
          <w:b/>
          <w:sz w:val="32"/>
          <w:szCs w:val="32"/>
        </w:rPr>
        <w:t>（含当日）</w:t>
      </w:r>
      <w:r>
        <w:rPr>
          <w:rFonts w:ascii="Times New Roman" w:hAnsi="Times New Roman" w:eastAsia="仿宋_GB2312" w:cs="仿宋_GB2312"/>
          <w:sz w:val="32"/>
          <w:szCs w:val="32"/>
        </w:rPr>
        <w:t>止。</w:t>
      </w:r>
    </w:p>
    <w:p w14:paraId="17FED2A1">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（二）</w:t>
      </w:r>
      <w:r>
        <w:rPr>
          <w:rFonts w:hint="eastAsia" w:ascii="仿宋" w:hAnsi="仿宋" w:eastAsia="仿宋" w:cs="仿宋"/>
          <w:sz w:val="32"/>
          <w:szCs w:val="32"/>
          <w:lang w:eastAsia="zh-CN"/>
        </w:rPr>
        <w:t xml:space="preserve"> </w:t>
      </w:r>
      <w:r>
        <w:t>债权利息的计算</w:t>
      </w:r>
    </w:p>
    <w:p w14:paraId="4DC8AE55">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各债权人对乳业公司的债权本金金额应计算至【</w:t>
      </w:r>
      <w:r>
        <w:rPr>
          <w:rFonts w:hint="eastAsia" w:cs="仿宋_GB2312"/>
          <w:sz w:val="32"/>
          <w:szCs w:val="32"/>
          <w:lang w:val="en-US" w:eastAsia="zh-CN"/>
        </w:rPr>
        <w:t>2026年9</w:t>
      </w:r>
      <w:r>
        <w:rPr>
          <w:rFonts w:ascii="Times New Roman" w:hAnsi="Times New Roman" w:eastAsia="仿宋_GB2312" w:cs="仿宋_GB2312"/>
          <w:sz w:val="32"/>
          <w:szCs w:val="32"/>
        </w:rPr>
        <w:t>月　</w:t>
      </w:r>
      <w:r>
        <w:rPr>
          <w:rFonts w:hint="eastAsia" w:cs="仿宋_GB2312"/>
          <w:sz w:val="32"/>
          <w:szCs w:val="32"/>
          <w:lang w:val="en-US" w:eastAsia="zh-CN"/>
        </w:rPr>
        <w:t>30</w:t>
      </w:r>
      <w:r>
        <w:rPr>
          <w:rFonts w:ascii="Times New Roman" w:hAnsi="Times New Roman" w:eastAsia="仿宋_GB2312" w:cs="仿宋_GB2312"/>
          <w:sz w:val="32"/>
          <w:szCs w:val="32"/>
        </w:rPr>
        <w:t>日（债权申报基准日）】（含当日）；利息暂计算至【</w:t>
      </w:r>
      <w:r>
        <w:rPr>
          <w:rFonts w:hint="eastAsia" w:cs="仿宋_GB2312"/>
          <w:sz w:val="32"/>
          <w:szCs w:val="32"/>
          <w:lang w:val="en-US" w:eastAsia="zh-CN"/>
        </w:rPr>
        <w:t>2026</w:t>
      </w:r>
      <w:r>
        <w:rPr>
          <w:rFonts w:ascii="Times New Roman" w:hAnsi="Times New Roman" w:eastAsia="仿宋_GB2312" w:cs="仿宋_GB2312"/>
          <w:sz w:val="32"/>
          <w:szCs w:val="32"/>
        </w:rPr>
        <w:t>年</w:t>
      </w:r>
      <w:r>
        <w:rPr>
          <w:rFonts w:hint="eastAsia" w:cs="仿宋_GB2312"/>
          <w:sz w:val="32"/>
          <w:szCs w:val="32"/>
          <w:lang w:val="en-US" w:eastAsia="zh-CN"/>
        </w:rPr>
        <w:t>9</w:t>
      </w:r>
      <w:r>
        <w:rPr>
          <w:rFonts w:ascii="Times New Roman" w:hAnsi="Times New Roman" w:eastAsia="仿宋_GB2312" w:cs="仿宋_GB2312"/>
          <w:sz w:val="32"/>
          <w:szCs w:val="32"/>
        </w:rPr>
        <w:t>月</w:t>
      </w:r>
      <w:r>
        <w:rPr>
          <w:rFonts w:hint="eastAsia" w:cs="仿宋_GB2312"/>
          <w:sz w:val="32"/>
          <w:szCs w:val="32"/>
          <w:lang w:val="en-US" w:eastAsia="zh-CN"/>
        </w:rPr>
        <w:t>30</w:t>
      </w:r>
      <w:r>
        <w:rPr>
          <w:rFonts w:ascii="Times New Roman" w:hAnsi="Times New Roman" w:eastAsia="仿宋_GB2312" w:cs="仿宋_GB2312"/>
          <w:sz w:val="32"/>
          <w:szCs w:val="32"/>
        </w:rPr>
        <w:t>日（债权申报基准日）】（含当日）。如后续人民法院正式受理乳业公司重整，利息应调整计算至重整受理日（含当日）。</w:t>
      </w:r>
    </w:p>
    <w:p w14:paraId="607C80FC">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（三）</w:t>
      </w:r>
      <w:r>
        <w:rPr>
          <w:rFonts w:hint="eastAsia" w:ascii="仿宋" w:hAnsi="仿宋" w:eastAsia="仿宋" w:cs="仿宋"/>
          <w:sz w:val="32"/>
          <w:szCs w:val="32"/>
          <w:lang w:eastAsia="zh-CN"/>
        </w:rPr>
        <w:t xml:space="preserve"> </w:t>
      </w:r>
      <w:r>
        <w:t>债权申报材料</w:t>
      </w:r>
    </w:p>
    <w:p w14:paraId="736579D2">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债权人需向临时管理人提交债权申报材料，请根据本指引第五部分＂线上申报的债权人应提交的材料＂的要求，就所列明的债权申报材料逐项核查后再行提交。</w:t>
      </w:r>
    </w:p>
    <w:p w14:paraId="15AB0BC2">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为提高债权审查效率，如同一债权人基于多份合同享有对乳业公司债权的，应按照每份合同口径逐笔分别申报债权，在填写债权形成说明及《债权申报说明》时，详细描述债权成因、抵质押情况、金额等相关信息。</w:t>
      </w:r>
    </w:p>
    <w:p w14:paraId="7C4D1D07">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3.</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同一债权人若同时对乳业公司享有主债权和担保债权，应当先区分主债权和担保债权各自对应的主债务人，再分别逐笔申报。若其中某项债权在法定性质上还可进一步区分为普通债权和有财产担保债权，则应在上述区分的基础上，再按普通债权和有财产担保债权分别逐笔申报。</w:t>
      </w:r>
    </w:p>
    <w:p w14:paraId="4E8214A8">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4.</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在线上债权申报系统中填写的债权形成说明，与按照本指引第五部分第三款第三项要求上传的《债权申报说明》所述内容应保持一致；若两份材料内容不一致的，临时管理人将以债权人提交的《债权申报说明》内容为准进行实质审查。</w:t>
      </w:r>
    </w:p>
    <w:p w14:paraId="51C6CC89">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各债权人线上网络申报提交的所有材料均应当盖章／签字捺印，具体要求见本指引后文。</w:t>
      </w:r>
    </w:p>
    <w:p w14:paraId="21979B29">
      <w:pPr>
        <w:pStyle w:val="3"/>
        <w:widowControl/>
        <w:numPr>
          <w:ilvl w:val="0"/>
          <w:numId w:val="0"/>
        </w:numPr>
        <w:ind w:left="0" w:leftChars="0" w:firstLine="640"/>
        <w:rPr>
          <w:b w:val="0"/>
        </w:rPr>
      </w:pPr>
      <w:r>
        <w:rPr>
          <w:rFonts w:hint="eastAsia"/>
          <w:lang w:eastAsia="zh-CN"/>
        </w:rPr>
        <w:t>二、</w:t>
      </w:r>
      <w:r>
        <w:rPr>
          <w:rFonts w:hint="eastAsia" w:ascii="仿宋" w:hAnsi="仿宋" w:eastAsia="仿宋" w:cs="仿宋"/>
          <w:kern w:val="44"/>
          <w:sz w:val="32"/>
          <w:szCs w:val="32"/>
          <w:lang w:eastAsia="zh-CN"/>
        </w:rPr>
        <w:t xml:space="preserve"> </w:t>
      </w:r>
      <w:r>
        <w:t>债权申报主体</w:t>
      </w:r>
    </w:p>
    <w:p w14:paraId="5D8C5023">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参照《中华人民共和国企业破产法》（以下简称《企业破产法》）相关规定，以下债权人均可向临时管理人申报债权：</w:t>
      </w:r>
    </w:p>
    <w:p w14:paraId="6867CC69">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（一）</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截至【</w:t>
      </w:r>
      <w:r>
        <w:rPr>
          <w:rFonts w:hint="eastAsia" w:cs="仿宋_GB2312"/>
          <w:sz w:val="32"/>
          <w:szCs w:val="32"/>
          <w:lang w:val="en-US" w:eastAsia="zh-CN"/>
        </w:rPr>
        <w:t>2026</w:t>
      </w:r>
      <w:r>
        <w:rPr>
          <w:rFonts w:ascii="Times New Roman" w:hAnsi="Times New Roman" w:eastAsia="仿宋_GB2312" w:cs="仿宋_GB2312"/>
          <w:sz w:val="32"/>
          <w:szCs w:val="32"/>
        </w:rPr>
        <w:t>年</w:t>
      </w:r>
      <w:r>
        <w:rPr>
          <w:rFonts w:hint="eastAsia" w:cs="仿宋_GB2312"/>
          <w:sz w:val="32"/>
          <w:szCs w:val="32"/>
          <w:lang w:val="en-US" w:eastAsia="zh-CN"/>
        </w:rPr>
        <w:t>9</w:t>
      </w:r>
      <w:r>
        <w:rPr>
          <w:rFonts w:ascii="Times New Roman" w:hAnsi="Times New Roman" w:eastAsia="仿宋_GB2312" w:cs="仿宋_GB2312"/>
          <w:sz w:val="32"/>
          <w:szCs w:val="32"/>
        </w:rPr>
        <w:t>月</w:t>
      </w:r>
      <w:r>
        <w:rPr>
          <w:rFonts w:hint="eastAsia" w:cs="仿宋_GB2312"/>
          <w:sz w:val="32"/>
          <w:szCs w:val="32"/>
          <w:lang w:val="en-US" w:eastAsia="zh-CN"/>
        </w:rPr>
        <w:t>30</w:t>
      </w:r>
      <w:r>
        <w:rPr>
          <w:rFonts w:ascii="Times New Roman" w:hAnsi="Times New Roman" w:eastAsia="仿宋_GB2312" w:cs="仿宋_GB2312"/>
          <w:sz w:val="32"/>
          <w:szCs w:val="32"/>
        </w:rPr>
        <w:t>日（债权申报基准日）】（含当日），对债务人依法享有债权的自然人、法人或其他主体；</w:t>
      </w:r>
    </w:p>
    <w:p w14:paraId="08EF15E3">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预重整期间对债务人享有债权的债权人，因乳业公司预重整期间正常生产经营产生的债权在公司预重整期间无需申报（已与公司终止合作或有纠纷争议的除外）；</w:t>
      </w:r>
    </w:p>
    <w:p w14:paraId="0CBBDF1B">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pacing wpsCustomData:val="-6" w:val="5"/>
          <w:sz w:val="32"/>
          <w:szCs w:val="32"/>
          <w:lang w:eastAsia="zh-CN"/>
        </w:rPr>
        <w:t>（三）</w:t>
      </w:r>
      <w:r>
        <w:rPr>
          <w:rFonts w:hint="eastAsia" w:ascii="仿宋" w:hAnsi="仿宋" w:eastAsia="仿宋" w:cs="仿宋"/>
          <w:spacing wpsCustomData:val="-6" w:val="6"/>
          <w:sz w:val="32"/>
          <w:szCs w:val="32"/>
          <w:lang w:eastAsia="zh-CN"/>
        </w:rPr>
        <w:t xml:space="preserve"> </w:t>
      </w:r>
      <w:r>
        <w:rPr>
          <w:rFonts w:ascii="Times New Roman" w:hAnsi="Times New Roman" w:eastAsia="仿宋_GB2312" w:cs="仿宋_GB2312"/>
          <w:spacing wpsCustomData:val="-6" w:val="5"/>
          <w:sz w:val="32"/>
          <w:szCs w:val="32"/>
        </w:rPr>
        <w:t>未到期债权</w:t>
      </w:r>
      <w:r>
        <w:rPr>
          <w:rFonts w:ascii="Times New Roman" w:hAnsi="Times New Roman" w:eastAsia="仿宋_GB2312" w:cs="仿宋_GB2312"/>
          <w:spacing wpsCustomData:val="-6" w:val="6"/>
          <w:sz w:val="32"/>
          <w:szCs w:val="32"/>
        </w:rPr>
        <w:t>，</w:t>
      </w:r>
      <w:r>
        <w:rPr>
          <w:rFonts w:ascii="Times New Roman" w:hAnsi="Times New Roman" w:eastAsia="仿宋_GB2312" w:cs="仿宋_GB2312"/>
          <w:spacing wpsCustomData:val="-6" w:val="5"/>
          <w:sz w:val="32"/>
          <w:szCs w:val="32"/>
        </w:rPr>
        <w:t>可提前进行申报</w:t>
      </w:r>
      <w:r>
        <w:rPr>
          <w:rFonts w:ascii="Times New Roman" w:hAnsi="Times New Roman" w:eastAsia="仿宋_GB2312" w:cs="仿宋_GB2312"/>
          <w:spacing wpsCustomData:val="-6" w:val="6"/>
          <w:sz w:val="32"/>
          <w:szCs w:val="32"/>
        </w:rPr>
        <w:t>，</w:t>
      </w:r>
      <w:r>
        <w:rPr>
          <w:rFonts w:ascii="Times New Roman" w:hAnsi="Times New Roman" w:eastAsia="仿宋_GB2312" w:cs="仿宋_GB2312"/>
          <w:spacing wpsCustomData:val="-6" w:val="5"/>
          <w:sz w:val="32"/>
          <w:szCs w:val="32"/>
        </w:rPr>
        <w:t>但应同时注明</w:t>
      </w:r>
      <w:r>
        <w:rPr>
          <w:rFonts w:ascii="Times New Roman" w:hAnsi="Times New Roman" w:eastAsia="仿宋_GB2312" w:cs="仿宋_GB2312"/>
          <w:spacing wpsCustomData:val="-6" w:val="-6"/>
          <w:sz w:val="32"/>
          <w:szCs w:val="32"/>
        </w:rPr>
        <w:t>到</w:t>
      </w:r>
      <w:r>
        <w:rPr>
          <w:rFonts w:ascii="Times New Roman" w:hAnsi="Times New Roman" w:eastAsia="仿宋_GB2312" w:cs="仿宋_GB2312"/>
          <w:sz w:val="32"/>
          <w:szCs w:val="32"/>
        </w:rPr>
        <w:t>期日；</w:t>
      </w:r>
    </w:p>
    <w:p w14:paraId="395D6C21">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（四）</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附条件、附期限的债权和涉及未决诉讼、仲裁等司法程序的债权，债权人亦可向临时管理人申报。</w:t>
      </w:r>
    </w:p>
    <w:p w14:paraId="2898C560">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如后续人民法院根据预重整情况依法裁定受理乳业公司重整，除在重整程序中临时管理人（届时依法转为管理人）另行要求外，预重整阶段已申报的债权人无需再另行申报债权；预重整期间临时管理人和债权人对法律关系成立与否、债权性质、债权本金、利息的计算方式等事项的审查、核查和确认，与重整程序（如有）中具有同等法律效力。</w:t>
      </w:r>
    </w:p>
    <w:p w14:paraId="62ABF641">
      <w:pPr>
        <w:pStyle w:val="3"/>
        <w:widowControl/>
        <w:numPr>
          <w:ilvl w:val="0"/>
          <w:numId w:val="0"/>
        </w:numPr>
        <w:ind w:left="0" w:leftChars="0" w:firstLine="640"/>
        <w:rPr>
          <w:b w:val="0"/>
        </w:rPr>
      </w:pPr>
      <w:r>
        <w:rPr>
          <w:rFonts w:hint="eastAsia"/>
          <w:lang w:eastAsia="zh-CN"/>
        </w:rPr>
        <w:t>三、</w:t>
      </w:r>
      <w:r>
        <w:rPr>
          <w:rFonts w:hint="eastAsia" w:ascii="仿宋" w:hAnsi="仿宋" w:eastAsia="仿宋" w:cs="仿宋"/>
          <w:kern w:val="44"/>
          <w:sz w:val="32"/>
          <w:szCs w:val="32"/>
          <w:lang w:eastAsia="zh-CN"/>
        </w:rPr>
        <w:t xml:space="preserve"> </w:t>
      </w:r>
      <w:r>
        <w:t>债权申报期限</w:t>
      </w:r>
    </w:p>
    <w:p w14:paraId="7A9D5E96">
      <w:pPr>
        <w:pStyle w:val="19"/>
        <w:widowControl/>
        <w:rPr>
          <w:rFonts w:ascii="Times New Roman" w:hAnsi="Times New Roman" w:eastAsia="仿宋_GB2312" w:cs="仿宋_GB2312"/>
          <w:sz w:val="32"/>
          <w:szCs w:val="32"/>
        </w:rPr>
      </w:pPr>
      <w:r>
        <w:rPr>
          <w:rFonts w:ascii="Times New Roman" w:hAnsi="Times New Roman" w:eastAsia="仿宋_GB2312" w:cs="仿宋_GB2312"/>
          <w:b/>
          <w:sz w:val="32"/>
          <w:szCs w:val="32"/>
        </w:rPr>
        <w:t>请各位债权人于2026年</w:t>
      </w:r>
      <w:r>
        <w:rPr>
          <w:rFonts w:hint="eastAsia" w:cs="仿宋_GB2312"/>
          <w:b/>
          <w:sz w:val="32"/>
          <w:szCs w:val="32"/>
          <w:lang w:val="en-US" w:eastAsia="zh-CN"/>
        </w:rPr>
        <w:t>11月17</w:t>
      </w:r>
      <w:r>
        <w:rPr>
          <w:rFonts w:ascii="Times New Roman" w:hAnsi="Times New Roman" w:eastAsia="仿宋_GB2312" w:cs="仿宋_GB2312"/>
          <w:b/>
          <w:sz w:val="32"/>
          <w:szCs w:val="32"/>
        </w:rPr>
        <w:t>（含当日）前向临时管理人申报债权。</w:t>
      </w:r>
      <w:r>
        <w:rPr>
          <w:rFonts w:ascii="Times New Roman" w:hAnsi="Times New Roman" w:eastAsia="仿宋_GB2312" w:cs="仿宋_GB2312"/>
          <w:sz w:val="32"/>
          <w:szCs w:val="32"/>
        </w:rPr>
        <w:t>请各位债权人尽早申报债权，以便临时管理人尽快对债权进行审查。如后续人民法院根据预重整情况依法裁定受理乳业公司重整，未在预重整期间申报债权的债权人可在重整程序中继续申报债权。</w:t>
      </w:r>
    </w:p>
    <w:p w14:paraId="14051842">
      <w:pPr>
        <w:pStyle w:val="3"/>
        <w:widowControl/>
        <w:numPr>
          <w:ilvl w:val="0"/>
          <w:numId w:val="0"/>
        </w:numPr>
        <w:ind w:left="0" w:leftChars="0" w:firstLine="640"/>
        <w:rPr>
          <w:b w:val="0"/>
        </w:rPr>
      </w:pPr>
      <w:r>
        <w:rPr>
          <w:rFonts w:hint="eastAsia"/>
          <w:lang w:eastAsia="zh-CN"/>
        </w:rPr>
        <w:t>四、</w:t>
      </w:r>
      <w:r>
        <w:rPr>
          <w:rFonts w:hint="eastAsia" w:ascii="仿宋" w:hAnsi="仿宋" w:eastAsia="仿宋" w:cs="仿宋"/>
          <w:kern w:val="44"/>
          <w:sz w:val="32"/>
          <w:szCs w:val="32"/>
          <w:lang w:eastAsia="zh-CN"/>
        </w:rPr>
        <w:t xml:space="preserve"> </w:t>
      </w:r>
      <w:r>
        <w:t>债权申报方式</w:t>
      </w:r>
    </w:p>
    <w:p w14:paraId="2C8BB101">
      <w:pPr>
        <w:pStyle w:val="19"/>
        <w:widowControl/>
        <w:rPr>
          <w:rFonts w:hint="default" w:ascii="Times New Roman" w:hAnsi="Times New Roman" w:eastAsia="仿宋_GB2312" w:cs="仿宋_GB2312"/>
          <w:sz w:val="32"/>
          <w:szCs w:val="32"/>
          <w:lang w:val="en-US" w:eastAsia="zh-CN"/>
        </w:rPr>
      </w:pPr>
      <w:r>
        <w:rPr>
          <w:rFonts w:ascii="Times New Roman" w:hAnsi="Times New Roman" w:eastAsia="仿宋_GB2312" w:cs="仿宋_GB2312"/>
          <w:sz w:val="32"/>
          <w:szCs w:val="32"/>
        </w:rPr>
        <w:t>为提高债权申报工作效率、节省债权申报的交通出行时间和成本，本次债权申报统一通过线上系统网络申报。债权人可通过</w:t>
      </w:r>
      <w:r>
        <w:rPr>
          <w:rFonts w:hint="eastAsia" w:cs="仿宋_GB2312"/>
          <w:sz w:val="32"/>
          <w:szCs w:val="32"/>
          <w:lang w:val="en-US" w:eastAsia="zh-CN"/>
        </w:rPr>
        <w:t>电脑访问</w:t>
      </w:r>
      <w:r>
        <w:rPr>
          <w:rFonts w:hint="eastAsia" w:ascii="Times New Roman" w:hAnsi="Times New Roman" w:eastAsia="仿宋_GB2312" w:cs="仿宋_GB2312"/>
          <w:spacing w:val="-6"/>
          <w:sz w:val="32"/>
          <w:szCs w:val="32"/>
        </w:rPr>
        <w:t>地址：https://ept.jiulaw.cn/z3/apply/apply-list?virtualNo=646181</w:t>
      </w:r>
      <w:r>
        <w:rPr>
          <w:rFonts w:ascii="Times New Roman" w:hAnsi="Times New Roman" w:eastAsia="仿宋_GB2312" w:cs="仿宋_GB2312"/>
          <w:sz w:val="32"/>
          <w:szCs w:val="32"/>
        </w:rPr>
        <w:t>，也可</w:t>
      </w:r>
      <w:r>
        <w:rPr>
          <w:rFonts w:hint="eastAsia" w:cs="仿宋_GB2312"/>
          <w:sz w:val="32"/>
          <w:szCs w:val="32"/>
          <w:lang w:val="en-US" w:eastAsia="zh-CN"/>
        </w:rPr>
        <w:t>通过手机</w:t>
      </w:r>
      <w:r>
        <w:rPr>
          <w:rFonts w:ascii="Times New Roman" w:hAnsi="Times New Roman" w:eastAsia="仿宋_GB2312" w:cs="仿宋_GB2312"/>
          <w:sz w:val="32"/>
          <w:szCs w:val="32"/>
        </w:rPr>
        <w:t>扫描</w:t>
      </w:r>
      <w:r>
        <w:rPr>
          <w:rFonts w:hint="eastAsia" w:cs="仿宋_GB2312"/>
          <w:sz w:val="32"/>
          <w:szCs w:val="32"/>
          <w:lang w:val="en-US" w:eastAsia="zh-CN"/>
        </w:rPr>
        <w:t>债权申报</w:t>
      </w:r>
      <w:r>
        <w:rPr>
          <w:rFonts w:ascii="Times New Roman" w:hAnsi="Times New Roman" w:eastAsia="仿宋_GB2312" w:cs="仿宋_GB2312"/>
          <w:sz w:val="32"/>
          <w:szCs w:val="32"/>
        </w:rPr>
        <w:t>公告所附二维码登录债权申报平台</w:t>
      </w:r>
      <w:r>
        <w:rPr>
          <w:rFonts w:hint="eastAsia" w:cs="仿宋_GB2312"/>
          <w:sz w:val="32"/>
          <w:szCs w:val="32"/>
          <w:lang w:val="en-US" w:eastAsia="zh-CN"/>
        </w:rPr>
        <w:t>进行线上</w:t>
      </w:r>
      <w:r>
        <w:rPr>
          <w:rFonts w:ascii="Times New Roman" w:hAnsi="Times New Roman" w:eastAsia="仿宋_GB2312" w:cs="仿宋_GB2312"/>
          <w:sz w:val="32"/>
          <w:szCs w:val="32"/>
        </w:rPr>
        <w:t>申报。</w:t>
      </w:r>
      <w:r>
        <w:rPr>
          <w:rFonts w:hint="eastAsia" w:cs="仿宋_GB2312"/>
          <w:sz w:val="32"/>
          <w:szCs w:val="32"/>
          <w:lang w:val="en-US" w:eastAsia="zh-CN"/>
        </w:rPr>
        <w:t>考虑到操作便利性，证据材料较多的债权建议通过电脑浏览器申报。</w:t>
      </w:r>
    </w:p>
    <w:p w14:paraId="4DBF9E36">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注意：债权人完成线上网络提交后，临时管理人将尽快进行材料的形式审查。为避免、减少反复邮寄、多次补充的情况，降低各债权人负担，完成线上网络申报的债权人待收到</w:t>
      </w:r>
      <w:r>
        <w:rPr>
          <w:rFonts w:hint="eastAsia" w:cs="仿宋_GB2312"/>
          <w:b/>
          <w:sz w:val="32"/>
          <w:szCs w:val="32"/>
          <w:lang w:val="en-US" w:eastAsia="zh-CN"/>
        </w:rPr>
        <w:t>形式审查通过的</w:t>
      </w:r>
      <w:r>
        <w:rPr>
          <w:rFonts w:ascii="Times New Roman" w:hAnsi="Times New Roman" w:eastAsia="仿宋_GB2312" w:cs="仿宋_GB2312"/>
          <w:b/>
          <w:sz w:val="32"/>
          <w:szCs w:val="32"/>
        </w:rPr>
        <w:t>通知</w:t>
      </w:r>
      <w:r>
        <w:rPr>
          <w:rFonts w:ascii="Times New Roman" w:hAnsi="Times New Roman" w:eastAsia="仿宋_GB2312" w:cs="仿宋_GB2312"/>
          <w:sz w:val="32"/>
          <w:szCs w:val="32"/>
        </w:rPr>
        <w:t>后，将所有纸质材料盖章／签字捺印后邮寄至临时管理人处。</w:t>
      </w:r>
    </w:p>
    <w:p w14:paraId="1EBD9F2A">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债权人通过网络申报系统进行债权申报的网址以及临时管理人的联系方式如下：</w:t>
      </w:r>
    </w:p>
    <w:tbl>
      <w:tblPr>
        <w:tblStyle w:val="32"/>
        <w:tblW w:w="5000" w:type="pct"/>
        <w:tblInd w:w="0" w:type="dxa"/>
        <w:tblLayout w:type="autofit"/>
        <w:tblCellMar>
          <w:top w:w="0" w:type="dxa"/>
          <w:left w:w="108" w:type="dxa"/>
          <w:bottom w:w="0" w:type="dxa"/>
          <w:right w:w="108" w:type="dxa"/>
        </w:tblCellMar>
      </w:tblPr>
      <w:tblGrid>
        <w:gridCol w:w="4529"/>
        <w:gridCol w:w="4532"/>
      </w:tblGrid>
      <w:tr w14:paraId="7804DE40">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26901464">
            <w:pPr>
              <w:spacing w:before="52" w:after="52" w:line="240" w:lineRule="auto"/>
            </w:pPr>
            <w:r>
              <w:rPr>
                <w:rFonts w:hint="eastAsia" w:ascii="黑体" w:hAnsi="黑体" w:eastAsia="黑体"/>
                <w:b/>
                <w:sz w:val="21"/>
              </w:rPr>
              <w:t>申报系统网址</w:t>
            </w:r>
          </w:p>
        </w:tc>
        <w:tc>
          <w:tcPr>
            <w:tcW w:w="2500" w:type="pct"/>
            <w:tcBorders>
              <w:top w:val="single" w:color="000000" w:sz="6" w:space="0"/>
              <w:left w:val="single" w:color="000000" w:sz="6" w:space="0"/>
              <w:bottom w:val="single" w:color="000000" w:sz="6" w:space="0"/>
              <w:right w:val="single" w:color="000000" w:sz="6" w:space="0"/>
            </w:tcBorders>
            <w:vAlign w:val="center"/>
          </w:tcPr>
          <w:p w14:paraId="03F95275">
            <w:pPr>
              <w:spacing w:before="52" w:after="52" w:line="240" w:lineRule="auto"/>
            </w:pPr>
            <w:r>
              <w:rPr>
                <w:sz w:val="21"/>
              </w:rPr>
              <w:t>【</w:t>
            </w:r>
            <w:r>
              <w:rPr>
                <w:rFonts w:hint="eastAsia" w:ascii="宋体" w:hAnsi="宋体" w:eastAsia="宋体" w:cstheme="minorBidi"/>
                <w:sz w:val="21"/>
                <w:szCs w:val="22"/>
                <w:lang w:val="en-US" w:eastAsia="en-US" w:bidi="ar-SA"/>
              </w:rPr>
              <w:t>https://ept.jiulaw.cn/z3/apply/apply-list?virtualNo=646181</w:t>
            </w:r>
            <w:r>
              <w:rPr>
                <w:sz w:val="21"/>
              </w:rPr>
              <w:t>】</w:t>
            </w:r>
          </w:p>
        </w:tc>
      </w:tr>
      <w:tr w14:paraId="34F69E12">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6FF1C793">
            <w:pPr>
              <w:spacing w:before="52" w:after="52" w:line="240" w:lineRule="auto"/>
            </w:pPr>
            <w:r>
              <w:rPr>
                <w:rFonts w:hint="eastAsia" w:ascii="黑体" w:hAnsi="黑体" w:eastAsia="黑体"/>
                <w:b/>
                <w:sz w:val="21"/>
              </w:rPr>
              <w:t>案件识别码</w:t>
            </w:r>
          </w:p>
        </w:tc>
        <w:tc>
          <w:tcPr>
            <w:tcW w:w="2500" w:type="pct"/>
            <w:tcBorders>
              <w:top w:val="single" w:color="000000" w:sz="6" w:space="0"/>
              <w:left w:val="single" w:color="000000" w:sz="6" w:space="0"/>
              <w:bottom w:val="single" w:color="000000" w:sz="6" w:space="0"/>
              <w:right w:val="single" w:color="000000" w:sz="6" w:space="0"/>
            </w:tcBorders>
            <w:vAlign w:val="center"/>
          </w:tcPr>
          <w:p w14:paraId="57BC46C8">
            <w:pPr>
              <w:spacing w:before="52" w:after="52" w:line="240" w:lineRule="auto"/>
            </w:pPr>
            <w:r>
              <w:rPr>
                <w:sz w:val="21"/>
              </w:rPr>
              <w:t>【</w:t>
            </w:r>
            <w:r>
              <w:rPr>
                <w:rFonts w:hint="eastAsia"/>
                <w:sz w:val="21"/>
                <w:lang w:val="en-US" w:eastAsia="zh-CN"/>
              </w:rPr>
              <w:t>646181</w:t>
            </w:r>
            <w:r>
              <w:rPr>
                <w:sz w:val="21"/>
              </w:rPr>
              <w:t>】</w:t>
            </w:r>
          </w:p>
        </w:tc>
      </w:tr>
      <w:tr w14:paraId="7CF71E07">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38CD5023">
            <w:pPr>
              <w:spacing w:before="52" w:after="52" w:line="240" w:lineRule="auto"/>
            </w:pPr>
            <w:r>
              <w:rPr>
                <w:rFonts w:hint="eastAsia" w:ascii="黑体" w:hAnsi="黑体" w:eastAsia="黑体"/>
                <w:b/>
                <w:sz w:val="21"/>
              </w:rPr>
              <w:t>通讯地址</w:t>
            </w:r>
          </w:p>
        </w:tc>
        <w:tc>
          <w:tcPr>
            <w:tcW w:w="2500" w:type="pct"/>
            <w:tcBorders>
              <w:top w:val="single" w:color="000000" w:sz="6" w:space="0"/>
              <w:left w:val="single" w:color="000000" w:sz="6" w:space="0"/>
              <w:bottom w:val="single" w:color="000000" w:sz="6" w:space="0"/>
              <w:right w:val="single" w:color="000000" w:sz="6" w:space="0"/>
            </w:tcBorders>
            <w:vAlign w:val="center"/>
          </w:tcPr>
          <w:p w14:paraId="76C91593">
            <w:pPr>
              <w:spacing w:before="52" w:after="52" w:line="240" w:lineRule="auto"/>
            </w:pPr>
            <w:r>
              <w:rPr>
                <w:sz w:val="21"/>
              </w:rPr>
              <w:t>河南省南阳市经一路1号（临时管理人办公地址）</w:t>
            </w:r>
          </w:p>
        </w:tc>
      </w:tr>
      <w:tr w14:paraId="12ED7BBB">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488AE00F">
            <w:pPr>
              <w:spacing w:before="52" w:after="52" w:line="240" w:lineRule="auto"/>
            </w:pPr>
            <w:r>
              <w:rPr>
                <w:rFonts w:hint="eastAsia" w:ascii="黑体" w:hAnsi="黑体" w:eastAsia="黑体"/>
                <w:b/>
                <w:sz w:val="21"/>
              </w:rPr>
              <w:t>邮编</w:t>
            </w:r>
          </w:p>
        </w:tc>
        <w:tc>
          <w:tcPr>
            <w:tcW w:w="2500" w:type="pct"/>
            <w:tcBorders>
              <w:top w:val="single" w:color="000000" w:sz="6" w:space="0"/>
              <w:left w:val="single" w:color="000000" w:sz="6" w:space="0"/>
              <w:bottom w:val="single" w:color="000000" w:sz="6" w:space="0"/>
              <w:right w:val="single" w:color="000000" w:sz="6" w:space="0"/>
            </w:tcBorders>
            <w:vAlign w:val="center"/>
          </w:tcPr>
          <w:p w14:paraId="4D3A18CC">
            <w:pPr>
              <w:spacing w:before="52" w:after="52" w:line="240" w:lineRule="auto"/>
            </w:pPr>
            <w:r>
              <w:rPr>
                <w:sz w:val="21"/>
              </w:rPr>
              <w:t>【</w:t>
            </w:r>
            <w:r>
              <w:rPr>
                <w:rFonts w:hint="eastAsia"/>
                <w:sz w:val="21"/>
                <w:lang w:val="en-US" w:eastAsia="zh-CN"/>
              </w:rPr>
              <w:t>473024</w:t>
            </w:r>
            <w:r>
              <w:rPr>
                <w:sz w:val="21"/>
              </w:rPr>
              <w:t>】</w:t>
            </w:r>
          </w:p>
        </w:tc>
      </w:tr>
      <w:tr w14:paraId="73DC3B77">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03C1DDBE">
            <w:pPr>
              <w:spacing w:before="52" w:after="52" w:line="240" w:lineRule="auto"/>
            </w:pPr>
            <w:r>
              <w:rPr>
                <w:rFonts w:hint="eastAsia" w:ascii="黑体" w:hAnsi="黑体" w:eastAsia="黑体"/>
                <w:b/>
                <w:sz w:val="21"/>
              </w:rPr>
              <w:t>联系人</w:t>
            </w:r>
          </w:p>
        </w:tc>
        <w:tc>
          <w:tcPr>
            <w:tcW w:w="2500" w:type="pct"/>
            <w:tcBorders>
              <w:top w:val="single" w:color="000000" w:sz="6" w:space="0"/>
              <w:left w:val="single" w:color="000000" w:sz="6" w:space="0"/>
              <w:bottom w:val="single" w:color="000000" w:sz="6" w:space="0"/>
              <w:right w:val="single" w:color="000000" w:sz="6" w:space="0"/>
            </w:tcBorders>
            <w:vAlign w:val="center"/>
          </w:tcPr>
          <w:p w14:paraId="16552A55">
            <w:pPr>
              <w:spacing w:before="52" w:after="52" w:line="240" w:lineRule="auto"/>
            </w:pPr>
            <w:r>
              <w:rPr>
                <w:sz w:val="21"/>
              </w:rPr>
              <w:t>【</w:t>
            </w:r>
            <w:r>
              <w:rPr>
                <w:rFonts w:hint="eastAsia"/>
                <w:sz w:val="21"/>
                <w:lang w:val="en-US" w:eastAsia="zh-CN"/>
              </w:rPr>
              <w:t>王律师、李律师</w:t>
            </w:r>
            <w:r>
              <w:rPr>
                <w:sz w:val="21"/>
              </w:rPr>
              <w:t>】</w:t>
            </w:r>
          </w:p>
        </w:tc>
      </w:tr>
      <w:tr w14:paraId="78A52E4D">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276E7410">
            <w:pPr>
              <w:spacing w:before="52" w:after="52" w:line="240" w:lineRule="auto"/>
            </w:pPr>
            <w:r>
              <w:rPr>
                <w:rFonts w:hint="eastAsia" w:ascii="黑体" w:hAnsi="黑体" w:eastAsia="黑体"/>
                <w:b/>
                <w:sz w:val="21"/>
              </w:rPr>
              <w:t>联系电话</w:t>
            </w:r>
          </w:p>
        </w:tc>
        <w:tc>
          <w:tcPr>
            <w:tcW w:w="2500" w:type="pct"/>
            <w:tcBorders>
              <w:top w:val="single" w:color="000000" w:sz="6" w:space="0"/>
              <w:left w:val="single" w:color="000000" w:sz="6" w:space="0"/>
              <w:bottom w:val="single" w:color="000000" w:sz="6" w:space="0"/>
              <w:right w:val="single" w:color="000000" w:sz="6" w:space="0"/>
            </w:tcBorders>
            <w:vAlign w:val="center"/>
          </w:tcPr>
          <w:p w14:paraId="1B22C12E">
            <w:pPr>
              <w:spacing w:before="52" w:after="52" w:line="240" w:lineRule="auto"/>
            </w:pPr>
            <w:r>
              <w:rPr>
                <w:sz w:val="21"/>
              </w:rPr>
              <w:t>【</w:t>
            </w:r>
            <w:r>
              <w:rPr>
                <w:rFonts w:hint="eastAsia" w:cs="仿宋_GB2312"/>
                <w:sz w:val="21"/>
                <w:szCs w:val="21"/>
                <w:lang w:val="en-US" w:eastAsia="zh-CN"/>
              </w:rPr>
              <w:t>15236002720   15103773572</w:t>
            </w:r>
            <w:r>
              <w:rPr>
                <w:sz w:val="21"/>
              </w:rPr>
              <w:t>】</w:t>
            </w:r>
          </w:p>
        </w:tc>
      </w:tr>
      <w:tr w14:paraId="560CF10C">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75EA7D1D">
            <w:pPr>
              <w:spacing w:before="52" w:after="52" w:line="240" w:lineRule="auto"/>
            </w:pPr>
            <w:r>
              <w:rPr>
                <w:rFonts w:hint="eastAsia" w:ascii="黑体" w:hAnsi="黑体" w:eastAsia="黑体"/>
                <w:b/>
                <w:sz w:val="21"/>
              </w:rPr>
              <w:t>临时管理人邮箱</w:t>
            </w:r>
          </w:p>
        </w:tc>
        <w:tc>
          <w:tcPr>
            <w:tcW w:w="2500" w:type="pct"/>
            <w:tcBorders>
              <w:top w:val="single" w:color="000000" w:sz="6" w:space="0"/>
              <w:left w:val="single" w:color="000000" w:sz="6" w:space="0"/>
              <w:bottom w:val="single" w:color="000000" w:sz="6" w:space="0"/>
              <w:right w:val="single" w:color="000000" w:sz="6" w:space="0"/>
            </w:tcBorders>
            <w:vAlign w:val="center"/>
          </w:tcPr>
          <w:p w14:paraId="1602EE12">
            <w:pPr>
              <w:spacing w:before="52" w:after="52" w:line="240" w:lineRule="auto"/>
            </w:pPr>
            <w:r>
              <w:rPr>
                <w:sz w:val="21"/>
              </w:rPr>
              <w:t>【</w:t>
            </w:r>
            <w:r>
              <w:rPr>
                <w:rFonts w:hint="eastAsia" w:ascii="宋体" w:hAnsi="宋体" w:eastAsia="宋体" w:cs="宋体"/>
                <w:sz w:val="21"/>
                <w:szCs w:val="21"/>
              </w:rPr>
              <w:t>ssgryyczglr@163.com</w:t>
            </w:r>
            <w:r>
              <w:rPr>
                <w:sz w:val="21"/>
              </w:rPr>
              <w:t>】</w:t>
            </w:r>
          </w:p>
        </w:tc>
      </w:tr>
      <w:tr w14:paraId="65DB7075">
        <w:tblPrEx>
          <w:tblCellMar>
            <w:top w:w="0" w:type="dxa"/>
            <w:left w:w="108" w:type="dxa"/>
            <w:bottom w:w="0" w:type="dxa"/>
            <w:right w:w="108" w:type="dxa"/>
          </w:tblCellMar>
        </w:tblPrEx>
        <w:tc>
          <w:tcPr>
            <w:tcW w:w="2499" w:type="pct"/>
            <w:tcBorders>
              <w:top w:val="single" w:color="000000" w:sz="6" w:space="0"/>
              <w:left w:val="single" w:color="000000" w:sz="6" w:space="0"/>
              <w:bottom w:val="single" w:color="000000" w:sz="6" w:space="0"/>
              <w:right w:val="single" w:color="000000" w:sz="6" w:space="0"/>
            </w:tcBorders>
            <w:vAlign w:val="center"/>
          </w:tcPr>
          <w:p w14:paraId="4A465CE5">
            <w:pPr>
              <w:spacing w:before="52" w:after="52" w:line="240" w:lineRule="auto"/>
            </w:pPr>
            <w:r>
              <w:rPr>
                <w:rFonts w:hint="eastAsia" w:ascii="黑体" w:hAnsi="黑体" w:eastAsia="黑体"/>
                <w:b/>
                <w:sz w:val="21"/>
              </w:rPr>
              <w:t>工作时间</w:t>
            </w:r>
          </w:p>
        </w:tc>
        <w:tc>
          <w:tcPr>
            <w:tcW w:w="2500" w:type="pct"/>
            <w:tcBorders>
              <w:top w:val="single" w:color="000000" w:sz="6" w:space="0"/>
              <w:left w:val="single" w:color="000000" w:sz="6" w:space="0"/>
              <w:bottom w:val="single" w:color="000000" w:sz="6" w:space="0"/>
              <w:right w:val="single" w:color="000000" w:sz="6" w:space="0"/>
            </w:tcBorders>
            <w:vAlign w:val="center"/>
          </w:tcPr>
          <w:p w14:paraId="3D4F5473">
            <w:pPr>
              <w:spacing w:before="52" w:after="52" w:line="240" w:lineRule="auto"/>
            </w:pPr>
            <w:r>
              <w:rPr>
                <w:sz w:val="21"/>
              </w:rPr>
              <w:t>9:00</w:t>
            </w:r>
            <w:r>
              <w:rPr>
                <w:rFonts w:hint="eastAsia"/>
                <w:sz w:val="21"/>
                <w:lang w:eastAsia="zh-CN"/>
              </w:rPr>
              <w:t>－</w:t>
            </w:r>
            <w:r>
              <w:rPr>
                <w:sz w:val="21"/>
              </w:rPr>
              <w:t>12:00；14:00</w:t>
            </w:r>
            <w:r>
              <w:rPr>
                <w:rFonts w:hint="eastAsia"/>
                <w:sz w:val="21"/>
                <w:lang w:eastAsia="zh-CN"/>
              </w:rPr>
              <w:t>－</w:t>
            </w:r>
            <w:r>
              <w:rPr>
                <w:sz w:val="21"/>
              </w:rPr>
              <w:t>17:00</w:t>
            </w:r>
          </w:p>
        </w:tc>
      </w:tr>
    </w:tbl>
    <w:p w14:paraId="1315DFA8"/>
    <w:p w14:paraId="33375671">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网络申报流程如下</w:t>
      </w:r>
      <w:r>
        <w:rPr>
          <w:rFonts w:hint="eastAsia" w:cs="仿宋_GB2312"/>
          <w:sz w:val="32"/>
          <w:szCs w:val="32"/>
          <w:lang w:eastAsia="zh-CN"/>
        </w:rPr>
        <w:t>（</w:t>
      </w:r>
      <w:r>
        <w:rPr>
          <w:rFonts w:hint="eastAsia" w:cs="仿宋_GB2312"/>
          <w:sz w:val="32"/>
          <w:szCs w:val="32"/>
          <w:lang w:val="en-US" w:eastAsia="zh-CN"/>
        </w:rPr>
        <w:t>以电脑浏览器申报为例</w:t>
      </w:r>
      <w:r>
        <w:rPr>
          <w:rFonts w:hint="eastAsia" w:cs="仿宋_GB2312"/>
          <w:sz w:val="32"/>
          <w:szCs w:val="32"/>
          <w:lang w:eastAsia="zh-CN"/>
        </w:rPr>
        <w:t>）</w:t>
      </w:r>
      <w:r>
        <w:rPr>
          <w:rFonts w:ascii="Times New Roman" w:hAnsi="Times New Roman" w:eastAsia="仿宋_GB2312" w:cs="仿宋_GB2312"/>
          <w:sz w:val="32"/>
          <w:szCs w:val="32"/>
        </w:rPr>
        <w:t>：</w:t>
      </w:r>
    </w:p>
    <w:p w14:paraId="1DF0F8CF">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（一）</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请在浏览器地址栏中输入申报系统网址【</w:t>
      </w:r>
      <w:r>
        <w:rPr>
          <w:rFonts w:hint="eastAsia" w:ascii="Times New Roman" w:hAnsi="Times New Roman" w:eastAsia="仿宋_GB2312" w:cs="仿宋_GB2312"/>
          <w:spacing w:val="-6"/>
          <w:sz w:val="32"/>
          <w:szCs w:val="32"/>
        </w:rPr>
        <w:t>https://ept.jiulaw.cn/z3/apply/apply-list?virtualNo=646181</w:t>
      </w:r>
      <w:r>
        <w:rPr>
          <w:rFonts w:ascii="Times New Roman" w:hAnsi="Times New Roman" w:eastAsia="仿宋_GB2312" w:cs="仿宋_GB2312"/>
          <w:sz w:val="32"/>
          <w:szCs w:val="32"/>
        </w:rPr>
        <w:t>】。</w:t>
      </w:r>
    </w:p>
    <w:p w14:paraId="6E679EA8">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首次申报的债权人需先注册账号，并仔细阅读＂网络申报指引＂并按照指引内容进行申报操作。登录后，进入项目并点击＂我的申报－新增申报＂按钮，根据系统指引申报，并参考＂操作视频＂所示完成债权申报的全部步骤。</w:t>
      </w:r>
    </w:p>
    <w:p w14:paraId="0A0FEFB2">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（三）</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债权申报链接中包含视频格式的网络债权申报系统操作指引，建议债权人申报前仔细观看。如在网络申报系统使用过程中有任何疑问，可联系网站的技术支持人员。</w:t>
      </w:r>
    </w:p>
    <w:p w14:paraId="5426AE92">
      <w:pPr>
        <w:pStyle w:val="19"/>
        <w:widowControl/>
        <w:ind w:left="2772" w:hanging="2156" w:firstLineChars="0"/>
        <w:rPr>
          <w:rFonts w:ascii="Times New Roman" w:hAnsi="Times New Roman" w:eastAsia="仿宋_GB2312" w:cs="仿宋_GB2312"/>
          <w:sz w:val="32"/>
          <w:szCs w:val="32"/>
        </w:rPr>
      </w:pPr>
      <w:r>
        <w:rPr>
          <w:rFonts w:ascii="Times New Roman" w:hAnsi="Times New Roman" w:eastAsia="仿宋_GB2312" w:cs="仿宋_GB2312"/>
          <w:spacing w:val="0"/>
          <w:kern w:val="0"/>
          <w:sz w:val="32"/>
          <w:szCs w:val="32"/>
          <w:fitText w:val="1920" w:id="-285614846"/>
        </w:rPr>
        <w:t>技术运维电话</w:t>
      </w:r>
      <w:r>
        <w:rPr>
          <w:rFonts w:ascii="Times New Roman" w:hAnsi="Times New Roman" w:eastAsia="仿宋_GB2312" w:cs="仿宋_GB2312"/>
          <w:sz w:val="32"/>
          <w:szCs w:val="32"/>
        </w:rPr>
        <w:t>：【400－810－1866（以平台公布为准）】。</w:t>
      </w:r>
    </w:p>
    <w:p w14:paraId="369E63AB">
      <w:pPr>
        <w:pStyle w:val="3"/>
        <w:widowControl/>
        <w:numPr>
          <w:ilvl w:val="0"/>
          <w:numId w:val="0"/>
        </w:numPr>
        <w:ind w:left="0" w:leftChars="0" w:firstLine="640"/>
        <w:rPr>
          <w:b w:val="0"/>
        </w:rPr>
      </w:pPr>
      <w:r>
        <w:rPr>
          <w:rFonts w:hint="eastAsia"/>
          <w:lang w:eastAsia="zh-CN"/>
        </w:rPr>
        <w:t>五、</w:t>
      </w:r>
      <w:r>
        <w:rPr>
          <w:rFonts w:hint="eastAsia" w:ascii="仿宋" w:hAnsi="仿宋" w:eastAsia="仿宋" w:cs="仿宋"/>
          <w:kern w:val="44"/>
          <w:sz w:val="32"/>
          <w:szCs w:val="32"/>
          <w:lang w:eastAsia="zh-CN"/>
        </w:rPr>
        <w:t xml:space="preserve"> </w:t>
      </w:r>
      <w:r>
        <w:t>线上申报的债权人应提交的材料</w:t>
      </w:r>
    </w:p>
    <w:p w14:paraId="354DFD01">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债权人以线上申报方式申报债权时，必须提交以下五类债权申报材料。各申报材料均需统一为A4型纸，经加盖债权人公章／签字捺印并扫描为PDF文件后，按照债权申报链接中视频格式的网络债权申报系统操作指引所示步骤上传至线上债权申报系统，同时准备原件备查。</w:t>
      </w:r>
    </w:p>
    <w:p w14:paraId="4036F79E">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（一）</w:t>
      </w:r>
      <w:r>
        <w:rPr>
          <w:rFonts w:hint="eastAsia" w:ascii="仿宋" w:hAnsi="仿宋" w:eastAsia="仿宋" w:cs="仿宋"/>
          <w:sz w:val="32"/>
          <w:szCs w:val="32"/>
          <w:lang w:eastAsia="zh-CN"/>
        </w:rPr>
        <w:t xml:space="preserve"> </w:t>
      </w:r>
      <w:r>
        <w:t>债权人主体资格证明材料</w:t>
      </w:r>
    </w:p>
    <w:p w14:paraId="1E1768BA">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债权人为机构的，应提供如下主体资格证明材料：</w:t>
      </w:r>
    </w:p>
    <w:p w14:paraId="2DDA1699">
      <w:pPr>
        <w:pStyle w:val="19"/>
        <w:widowControl/>
        <w:numPr>
          <w:ilvl w:val="0"/>
          <w:numId w:val="0"/>
        </w:numPr>
        <w:ind w:left="0" w:leftChars="0" w:firstLine="616"/>
        <w:rPr>
          <w:rFonts w:hint="eastAsia" w:ascii="仿宋_GB2312" w:hAnsi="仿宋_GB2312" w:eastAsia="仿宋_GB2312" w:cs="仿宋_GB2312"/>
          <w:b w:val="0"/>
          <w:sz w:val="32"/>
          <w:szCs w:val="32"/>
        </w:rPr>
      </w:pPr>
      <w:r>
        <w:rPr>
          <w:rStyle w:val="166"/>
          <w:rFonts w:hint="eastAsia"/>
          <w:lang w:eastAsia="zh-CN"/>
        </w:rPr>
        <w:t>1.</w:t>
      </w:r>
      <w:r>
        <w:rPr>
          <w:rFonts w:hint="eastAsia" w:ascii="仿宋" w:hAnsi="仿宋" w:eastAsia="仿宋" w:cs="仿宋"/>
          <w:spacing w:val="-6"/>
          <w:sz w:val="32"/>
          <w:szCs w:val="32"/>
          <w:lang w:eastAsia="zh-CN"/>
        </w:rPr>
        <w:t xml:space="preserve"> </w:t>
      </w:r>
      <w:r>
        <w:rPr>
          <w:rStyle w:val="166"/>
        </w:rPr>
        <w:t>有效的营业执照或事业单位、社会团体等非营利法人或非法人组织的登记证书或其他合法证明书复印件</w:t>
      </w:r>
      <w:r>
        <w:rPr>
          <w:rFonts w:ascii="Times New Roman" w:hAnsi="Times New Roman" w:eastAsia="仿宋_GB2312" w:cs="仿宋_GB2312"/>
          <w:sz w:val="32"/>
          <w:szCs w:val="32"/>
        </w:rPr>
        <w:t>。如机构债权人为金融机构，还应当提供国家金融监督管理部门颁发的《金融许可</w:t>
      </w:r>
      <w:r>
        <w:rPr>
          <w:rFonts w:ascii="Times New Roman" w:hAnsi="Times New Roman" w:eastAsia="仿宋_GB2312" w:cs="仿宋_GB2312"/>
          <w:spacing wpsCustomData:val="14" w:val="25"/>
          <w:sz w:val="32"/>
          <w:szCs w:val="32"/>
        </w:rPr>
        <w:t>证》复印</w:t>
      </w:r>
      <w:r>
        <w:rPr>
          <w:rFonts w:ascii="Times New Roman" w:hAnsi="Times New Roman" w:eastAsia="仿宋_GB2312" w:cs="仿宋_GB2312"/>
          <w:spacing wpsCustomData:val="13" w:val="24"/>
          <w:sz w:val="32"/>
          <w:szCs w:val="32"/>
        </w:rPr>
        <w:t>件</w:t>
      </w:r>
      <w:r>
        <w:rPr>
          <w:rFonts w:ascii="Times New Roman" w:hAnsi="Times New Roman" w:eastAsia="仿宋_GB2312" w:cs="仿宋_GB2312"/>
          <w:spacing wpsCustomData:val="14" w:val="25"/>
          <w:sz w:val="32"/>
          <w:szCs w:val="32"/>
        </w:rPr>
        <w:t>。上述资料复印件须加盖公章后上传</w:t>
      </w:r>
      <w:r>
        <w:rPr>
          <w:rFonts w:ascii="Times New Roman" w:hAnsi="Times New Roman" w:eastAsia="仿宋_GB2312" w:cs="仿宋_GB2312"/>
          <w:spacing wpsCustomData:val="-6" w:val="-6"/>
          <w:sz w:val="32"/>
          <w:szCs w:val="32"/>
        </w:rPr>
        <w:t>PD</w:t>
      </w:r>
      <w:r>
        <w:rPr>
          <w:rFonts w:ascii="Times New Roman" w:hAnsi="Times New Roman" w:eastAsia="仿宋_GB2312" w:cs="仿宋_GB2312"/>
          <w:spacing wpsCustomData:val="-18" w:val="-39"/>
          <w:sz w:val="32"/>
          <w:szCs w:val="32"/>
        </w:rPr>
        <w:t>F</w:t>
      </w:r>
      <w:r>
        <w:rPr>
          <w:rFonts w:ascii="Times New Roman" w:hAnsi="Times New Roman" w:eastAsia="仿宋_GB2312" w:cs="仿宋_GB2312"/>
          <w:spacing wpsCustomData:val="-6" w:val="-6"/>
          <w:sz w:val="32"/>
          <w:szCs w:val="32"/>
        </w:rPr>
        <w:t>扫</w:t>
      </w:r>
      <w:r>
        <w:rPr>
          <w:rFonts w:ascii="Times New Roman" w:hAnsi="Times New Roman" w:eastAsia="仿宋_GB2312" w:cs="仿宋_GB2312"/>
          <w:sz w:val="32"/>
          <w:szCs w:val="32"/>
        </w:rPr>
        <w:t>描件；</w:t>
      </w:r>
    </w:p>
    <w:p w14:paraId="6B3D2F9E">
      <w:pPr>
        <w:pStyle w:val="19"/>
        <w:widowControl/>
        <w:numPr>
          <w:ilvl w:val="0"/>
          <w:numId w:val="0"/>
        </w:numPr>
        <w:ind w:left="0" w:leftChars="0" w:firstLine="616"/>
        <w:rPr>
          <w:rFonts w:hint="eastAsia" w:ascii="仿宋_GB2312" w:hAnsi="仿宋_GB2312" w:eastAsia="仿宋_GB2312" w:cs="仿宋_GB2312"/>
          <w:b w:val="0"/>
          <w:sz w:val="32"/>
          <w:szCs w:val="32"/>
        </w:rPr>
      </w:pPr>
      <w:r>
        <w:rPr>
          <w:rStyle w:val="166"/>
          <w:rFonts w:hint="eastAsia"/>
          <w:lang w:eastAsia="zh-CN"/>
        </w:rPr>
        <w:t>2.</w:t>
      </w:r>
      <w:r>
        <w:rPr>
          <w:rFonts w:hint="eastAsia" w:ascii="仿宋" w:hAnsi="仿宋" w:eastAsia="仿宋" w:cs="仿宋"/>
          <w:spacing w:val="-6"/>
          <w:sz w:val="32"/>
          <w:szCs w:val="32"/>
          <w:lang w:eastAsia="zh-CN"/>
        </w:rPr>
        <w:t xml:space="preserve"> </w:t>
      </w:r>
      <w:r>
        <w:rPr>
          <w:rStyle w:val="166"/>
        </w:rPr>
        <w:t>《法定代表人（负责人）身份证明书》（范本请见附件四），须为原件加盖公章后上传PDF扫描件</w:t>
      </w:r>
      <w:r>
        <w:rPr>
          <w:rFonts w:ascii="Times New Roman" w:hAnsi="Times New Roman" w:eastAsia="仿宋_GB2312" w:cs="仿宋_GB2312"/>
          <w:sz w:val="32"/>
          <w:szCs w:val="32"/>
        </w:rPr>
        <w:t>；</w:t>
      </w:r>
    </w:p>
    <w:p w14:paraId="206A1C21">
      <w:pPr>
        <w:pStyle w:val="19"/>
        <w:widowControl/>
        <w:numPr>
          <w:ilvl w:val="0"/>
          <w:numId w:val="0"/>
        </w:numPr>
        <w:ind w:left="0" w:leftChars="0" w:firstLine="616"/>
        <w:rPr>
          <w:rFonts w:hint="eastAsia" w:ascii="仿宋_GB2312" w:hAnsi="仿宋_GB2312" w:eastAsia="仿宋_GB2312" w:cs="仿宋_GB2312"/>
          <w:b w:val="0"/>
          <w:sz w:val="32"/>
          <w:szCs w:val="32"/>
        </w:rPr>
      </w:pPr>
      <w:r>
        <w:rPr>
          <w:rStyle w:val="166"/>
          <w:rFonts w:hint="eastAsia"/>
          <w:lang w:eastAsia="zh-CN"/>
        </w:rPr>
        <w:t>3.</w:t>
      </w:r>
      <w:r>
        <w:rPr>
          <w:rFonts w:hint="eastAsia" w:ascii="仿宋" w:hAnsi="仿宋" w:eastAsia="仿宋" w:cs="仿宋"/>
          <w:spacing w:val="-6"/>
          <w:sz w:val="32"/>
          <w:szCs w:val="32"/>
          <w:lang w:eastAsia="zh-CN"/>
        </w:rPr>
        <w:t xml:space="preserve"> </w:t>
      </w:r>
      <w:r>
        <w:rPr>
          <w:rStyle w:val="166"/>
        </w:rPr>
        <w:t>如发生单位名称变更或法定代表人变更的，应当提交由市场监督管理机构出具的变更证明文件，前述文件须加盖公章后上传PDF扫描件</w:t>
      </w:r>
      <w:r>
        <w:rPr>
          <w:rFonts w:ascii="Times New Roman" w:hAnsi="Times New Roman" w:eastAsia="仿宋_GB2312" w:cs="仿宋_GB2312"/>
          <w:sz w:val="32"/>
          <w:szCs w:val="32"/>
        </w:rPr>
        <w:t>。注销／吊销后重新注册的机构债权人不视为名称变更，机构债权人应提交两家机构之间债权转让或承继的相关证明材料复印件，须加盖公章后上传PDF扫描件。</w:t>
      </w:r>
    </w:p>
    <w:p w14:paraId="3ABADF02">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个人债权人应提供如下主体资格证明材料：</w:t>
      </w:r>
    </w:p>
    <w:p w14:paraId="07767B3E">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债权人身份证等个人有效证件复印件。前述复印件须签字捺印后上传PDF扫描件。</w:t>
      </w:r>
    </w:p>
    <w:p w14:paraId="5D7531FE">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3.</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非法定代表人（负责人）／非本人申报债权或参与后续预重整、重整程序工作的，还应提供如下证明材料：</w:t>
      </w:r>
    </w:p>
    <w:p w14:paraId="44F6E02A">
      <w:pPr>
        <w:pStyle w:val="19"/>
        <w:widowControl/>
        <w:numPr>
          <w:ilvl w:val="0"/>
          <w:numId w:val="0"/>
        </w:numPr>
        <w:ind w:left="0" w:leftChars="0" w:firstLine="616"/>
        <w:rPr>
          <w:rFonts w:hint="eastAsia" w:ascii="仿宋_GB2312" w:hAnsi="仿宋_GB2312" w:eastAsia="仿宋_GB2312" w:cs="仿宋_GB2312"/>
          <w:b w:val="0"/>
          <w:sz w:val="32"/>
          <w:szCs w:val="32"/>
        </w:rPr>
      </w:pPr>
      <w:r>
        <w:rPr>
          <w:rStyle w:val="166"/>
          <w:rFonts w:hint="eastAsia"/>
          <w:lang w:eastAsia="zh-CN"/>
        </w:rPr>
        <w:t>1.</w:t>
      </w:r>
      <w:r>
        <w:rPr>
          <w:rFonts w:hint="eastAsia" w:ascii="仿宋" w:hAnsi="仿宋" w:eastAsia="仿宋" w:cs="仿宋"/>
          <w:spacing w:val="-6"/>
          <w:sz w:val="32"/>
          <w:szCs w:val="32"/>
          <w:lang w:eastAsia="zh-CN"/>
        </w:rPr>
        <w:t xml:space="preserve"> </w:t>
      </w:r>
      <w:r>
        <w:rPr>
          <w:rStyle w:val="166"/>
        </w:rPr>
        <w:t>《授权委托书》（范本请见附件五）</w:t>
      </w:r>
      <w:r>
        <w:rPr>
          <w:rFonts w:ascii="Times New Roman" w:hAnsi="Times New Roman" w:eastAsia="仿宋_GB2312" w:cs="仿宋_GB2312"/>
          <w:sz w:val="32"/>
          <w:szCs w:val="32"/>
        </w:rPr>
        <w:t>。如是机构债权人的，须由机构债权人加盖公章；如是个人债权人的，须由个人债权人签字捺印。前述文件须为原件加盖公章／签字捺印后上传PDF扫描件；</w:t>
      </w:r>
    </w:p>
    <w:p w14:paraId="510B4AC6">
      <w:pPr>
        <w:pStyle w:val="19"/>
        <w:widowControl/>
        <w:numPr>
          <w:ilvl w:val="0"/>
          <w:numId w:val="0"/>
        </w:numPr>
        <w:ind w:left="0" w:leftChars="0" w:firstLine="616"/>
        <w:rPr>
          <w:rFonts w:hint="eastAsia" w:ascii="仿宋_GB2312" w:hAnsi="仿宋_GB2312" w:eastAsia="仿宋_GB2312" w:cs="仿宋_GB2312"/>
          <w:b w:val="0"/>
          <w:sz w:val="32"/>
          <w:szCs w:val="32"/>
        </w:rPr>
      </w:pPr>
      <w:r>
        <w:rPr>
          <w:rStyle w:val="166"/>
          <w:rFonts w:hint="eastAsia"/>
          <w:lang w:eastAsia="zh-CN"/>
        </w:rPr>
        <w:t>2.</w:t>
      </w:r>
      <w:r>
        <w:rPr>
          <w:rFonts w:hint="eastAsia" w:ascii="仿宋" w:hAnsi="仿宋" w:eastAsia="仿宋" w:cs="仿宋"/>
          <w:spacing w:val="-6"/>
          <w:sz w:val="32"/>
          <w:szCs w:val="32"/>
          <w:lang w:eastAsia="zh-CN"/>
        </w:rPr>
        <w:t xml:space="preserve"> </w:t>
      </w:r>
      <w:r>
        <w:rPr>
          <w:rStyle w:val="166"/>
        </w:rPr>
        <w:t>委托代理人的个人有效证件复印件，须由债权人加盖公章或签字捺印后上传PDF扫描件</w:t>
      </w:r>
      <w:r>
        <w:rPr>
          <w:rFonts w:ascii="Times New Roman" w:hAnsi="Times New Roman" w:eastAsia="仿宋_GB2312" w:cs="仿宋_GB2312"/>
          <w:sz w:val="32"/>
          <w:szCs w:val="32"/>
        </w:rPr>
        <w:t>；</w:t>
      </w:r>
    </w:p>
    <w:p w14:paraId="09FFE856">
      <w:pPr>
        <w:pStyle w:val="19"/>
        <w:widowControl/>
        <w:numPr>
          <w:ilvl w:val="0"/>
          <w:numId w:val="0"/>
        </w:numPr>
        <w:ind w:left="0" w:leftChars="0" w:firstLine="616"/>
        <w:rPr>
          <w:rFonts w:hint="eastAsia" w:ascii="仿宋_GB2312" w:hAnsi="仿宋_GB2312" w:eastAsia="仿宋_GB2312" w:cs="仿宋_GB2312"/>
          <w:b w:val="0"/>
          <w:sz w:val="32"/>
          <w:szCs w:val="32"/>
        </w:rPr>
      </w:pPr>
      <w:r>
        <w:rPr>
          <w:rStyle w:val="166"/>
          <w:rFonts w:hint="eastAsia"/>
          <w:lang w:eastAsia="zh-CN"/>
        </w:rPr>
        <w:t>3.</w:t>
      </w:r>
      <w:r>
        <w:rPr>
          <w:rFonts w:hint="eastAsia" w:ascii="仿宋" w:hAnsi="仿宋" w:eastAsia="仿宋" w:cs="仿宋"/>
          <w:spacing w:val="-6"/>
          <w:sz w:val="32"/>
          <w:szCs w:val="32"/>
          <w:lang w:eastAsia="zh-CN"/>
        </w:rPr>
        <w:t xml:space="preserve"> </w:t>
      </w:r>
      <w:r>
        <w:rPr>
          <w:rStyle w:val="166"/>
        </w:rPr>
        <w:t>如委托代理人为律师的，还应提交律师执业证复印件以及《律师事务所指派函》原件的扫描件</w:t>
      </w:r>
      <w:r>
        <w:rPr>
          <w:rFonts w:ascii="Times New Roman" w:hAnsi="Times New Roman" w:eastAsia="仿宋_GB2312" w:cs="仿宋_GB2312"/>
          <w:sz w:val="32"/>
          <w:szCs w:val="32"/>
        </w:rPr>
        <w:t>。律师执业证复印件须加盖机构债权人公章／个人债权人签字捺印后上传PDF扫描件，《</w:t>
      </w:r>
      <w:r>
        <w:rPr>
          <w:rFonts w:ascii="Times New Roman" w:hAnsi="Times New Roman" w:eastAsia="仿宋_GB2312" w:cs="仿宋_GB2312"/>
          <w:spacing wpsCustomData:val="6" w:val="13"/>
          <w:sz w:val="32"/>
          <w:szCs w:val="32"/>
        </w:rPr>
        <w:t>律师事务所指派函》须为原件加盖律所公章后上传</w:t>
      </w:r>
      <w:r>
        <w:rPr>
          <w:rFonts w:ascii="Times New Roman" w:hAnsi="Times New Roman" w:eastAsia="仿宋_GB2312" w:cs="仿宋_GB2312"/>
          <w:spacing wpsCustomData:val="-6" w:val="-6"/>
          <w:sz w:val="32"/>
          <w:szCs w:val="32"/>
        </w:rPr>
        <w:t>PD</w:t>
      </w:r>
      <w:r>
        <w:rPr>
          <w:rFonts w:ascii="Times New Roman" w:hAnsi="Times New Roman" w:eastAsia="仿宋_GB2312" w:cs="仿宋_GB2312"/>
          <w:spacing wpsCustomData:val="-25" w:val="-49"/>
          <w:sz w:val="32"/>
          <w:szCs w:val="32"/>
        </w:rPr>
        <w:t>F</w:t>
      </w:r>
      <w:r>
        <w:rPr>
          <w:rFonts w:ascii="Times New Roman" w:hAnsi="Times New Roman" w:eastAsia="仿宋_GB2312" w:cs="仿宋_GB2312"/>
          <w:spacing wpsCustomData:val="-6" w:val="-6"/>
          <w:sz w:val="32"/>
          <w:szCs w:val="32"/>
        </w:rPr>
        <w:t>扫</w:t>
      </w:r>
      <w:r>
        <w:rPr>
          <w:rFonts w:ascii="Times New Roman" w:hAnsi="Times New Roman" w:eastAsia="仿宋_GB2312" w:cs="仿宋_GB2312"/>
          <w:sz w:val="32"/>
          <w:szCs w:val="32"/>
        </w:rPr>
        <w:t>描件。</w:t>
      </w:r>
    </w:p>
    <w:p w14:paraId="7BBFEE15">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（二）</w:t>
      </w:r>
      <w:r>
        <w:rPr>
          <w:rFonts w:hint="eastAsia" w:ascii="仿宋" w:hAnsi="仿宋" w:eastAsia="仿宋" w:cs="仿宋"/>
          <w:sz w:val="32"/>
          <w:szCs w:val="32"/>
          <w:lang w:eastAsia="zh-CN"/>
        </w:rPr>
        <w:t xml:space="preserve"> </w:t>
      </w:r>
      <w:r>
        <w:t>证明债权成立及债权金额、性质的材料</w:t>
      </w:r>
    </w:p>
    <w:p w14:paraId="18188D41">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债权人申报债权应提交能够证明债权成立及债权金额、性质的全部书面证据材料，包括但不限于：</w:t>
      </w:r>
    </w:p>
    <w:p w14:paraId="7A30D3BE">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相关合同（包括但不限于借贷合同、购销合同等）等债权形成的基础性材料；</w:t>
      </w:r>
    </w:p>
    <w:p w14:paraId="3B6963EB">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2.</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相关票据、划账单、汇款单、对账单、提货单、物流单等合同履行凭证；</w:t>
      </w:r>
    </w:p>
    <w:p w14:paraId="5D9C27AA">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3.</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债权如有担保的，须提交抵押合同、质押合同、保证合同、担保物清单，以及相关的抵押、质押登记证明等担保材料。如担保物的物权凭证（如不动产权证书、他项权利证书等）由债权</w:t>
      </w:r>
      <w:r>
        <w:rPr>
          <w:rFonts w:ascii="Times New Roman" w:hAnsi="Times New Roman" w:eastAsia="仿宋_GB2312" w:cs="仿宋_GB2312"/>
          <w:spacing wpsCustomData:val="-6" w:val="1"/>
          <w:sz w:val="32"/>
          <w:szCs w:val="32"/>
        </w:rPr>
        <w:t>人一并保管的，应在申报债权时将原件单独交还至临时管</w:t>
      </w:r>
      <w:r>
        <w:rPr>
          <w:rFonts w:ascii="Times New Roman" w:hAnsi="Times New Roman" w:eastAsia="仿宋_GB2312" w:cs="仿宋_GB2312"/>
          <w:spacing wpsCustomData:val="-6" w:val="-6"/>
          <w:sz w:val="32"/>
          <w:szCs w:val="32"/>
        </w:rPr>
        <w:t>理</w:t>
      </w:r>
      <w:r>
        <w:rPr>
          <w:rFonts w:ascii="Times New Roman" w:hAnsi="Times New Roman" w:eastAsia="仿宋_GB2312" w:cs="仿宋_GB2312"/>
          <w:sz w:val="32"/>
          <w:szCs w:val="32"/>
        </w:rPr>
        <w:t>人处；</w:t>
      </w:r>
    </w:p>
    <w:p w14:paraId="2EC650DD">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4.</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如涉及诉讼、仲裁、调解、保全、执行的，则须提交诉讼、仲裁、调解、保全、执行有关的文件（包括但不限于已经判决或裁决的正在执行或正在进行中的案件的起诉状、仲裁申请书、诉讼保全申请书、保全裁定书、生效判决书、调解书、裁决书、执行申请书、法院执行裁定书、法院执行案件通知书等）。法院出具的生效法律文书应加盖法律文书生效章；如果案件经过两级法院审理，一、二审法院出具的法律文书均需提供；仲裁机构出具的生效法律文书应附上仲裁机构关于法律文书已经生效的函件或双方当事人已签收的送达回执以及证据材料。如果债权人已申请人民法院强制执行的，还须提交人民法院执行立案通知书、执行裁定书等相关文件，并向临时管理人说明是否已领取部分执行款；</w:t>
      </w:r>
    </w:p>
    <w:p w14:paraId="016ED106">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5.</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如债权涉及利息（包括罚息、复利、违约金、滞纳金、资金占用费等）计算的，应提交关于利息计算方法、计算依据及计算过程的书面说明、利息计算表（EXCEL格式），并将正常利息与罚息、迟延利息、滞纳金等分开计算、列示；</w:t>
      </w:r>
    </w:p>
    <w:p w14:paraId="725BC62C">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6.</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若债权人申报的债权涉及材料款或工程款的，应另行提供债权形成明细表，说明合同项目名称、送货金额、送货日期、已付款金额、付款日期、尚欠金额，并提供相应的合同、送货单、结算资料以及收款凭证等证据材料以供佐证；</w:t>
      </w:r>
    </w:p>
    <w:p w14:paraId="74C51B7D">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7.</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相关公证文书（如有）；</w:t>
      </w:r>
    </w:p>
    <w:p w14:paraId="0B09FFA8">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8.</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如有清偿、抵销、被执行或其他抵债情形的，须如实提供偿债凭证、协议、执行裁定书等材料；如该等债务清偿系由法院裁定认可的，须同时提交裁定书。本项义务不随着债权申报工作的结束而终止，如前述情况一经发生，债权人应及时通知临时管理人并补充提供前述资料；</w:t>
      </w:r>
    </w:p>
    <w:p w14:paraId="4386A37F">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9.</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能够证明债权发生、变更、存续、转让或受让，诉讼时效中断、中止、延长及债权金额的其他原始材料；</w:t>
      </w:r>
    </w:p>
    <w:p w14:paraId="7138BF7D">
      <w:pPr>
        <w:pStyle w:val="19"/>
        <w:widowControl/>
        <w:numPr>
          <w:ilvl w:val="0"/>
          <w:numId w:val="0"/>
        </w:numPr>
        <w:ind w:left="0" w:leftChars="0" w:firstLine="616"/>
        <w:rPr>
          <w:rFonts w:ascii="Times New Roman" w:hAnsi="Times New Roman" w:eastAsia="仿宋_GB2312" w:cs="仿宋_GB2312"/>
          <w:b w:val="0"/>
          <w:sz w:val="32"/>
          <w:szCs w:val="32"/>
        </w:rPr>
      </w:pPr>
      <w:r>
        <w:rPr>
          <w:rFonts w:hint="eastAsia" w:cs="仿宋_GB2312"/>
          <w:sz w:val="32"/>
          <w:szCs w:val="32"/>
          <w:lang w:eastAsia="zh-CN"/>
        </w:rPr>
        <w:t>10.</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债权人主张债权的相关证明资料（如有），如催款、催收通知等。</w:t>
      </w:r>
    </w:p>
    <w:p w14:paraId="70BD2948">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以上证明债权成立及债权金额、性质的材料，请于网络债权申报系统上传加盖公章／签字捺印的复印件（PDF格式）；上传文件时，请根据材料内容对文件进行命名。</w:t>
      </w:r>
    </w:p>
    <w:p w14:paraId="3147D592">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（三）</w:t>
      </w:r>
      <w:r>
        <w:rPr>
          <w:rFonts w:hint="eastAsia" w:ascii="仿宋" w:hAnsi="仿宋" w:eastAsia="仿宋" w:cs="仿宋"/>
          <w:sz w:val="32"/>
          <w:szCs w:val="32"/>
          <w:lang w:eastAsia="zh-CN"/>
        </w:rPr>
        <w:t xml:space="preserve"> </w:t>
      </w:r>
      <w:r>
        <w:t>《债权申报材料目录》《债权申报表》《债权申报说明》（请按照附件填写，须提供原件，可加页）</w:t>
      </w:r>
    </w:p>
    <w:p w14:paraId="7208D106">
      <w:pPr>
        <w:pStyle w:val="5"/>
        <w:widowControl/>
        <w:numPr>
          <w:ilvl w:val="0"/>
          <w:numId w:val="0"/>
        </w:numPr>
        <w:ind w:left="0" w:leftChars="0" w:firstLine="640"/>
        <w:rPr>
          <w:b w:val="0"/>
        </w:rPr>
      </w:pPr>
      <w:r>
        <w:rPr>
          <w:rFonts w:hint="eastAsia"/>
          <w:lang w:eastAsia="zh-CN"/>
        </w:rPr>
        <w:t>1.</w:t>
      </w:r>
      <w:r>
        <w:rPr>
          <w:rFonts w:hint="eastAsia" w:ascii="仿宋" w:hAnsi="仿宋" w:eastAsia="仿宋" w:cs="仿宋"/>
          <w:sz w:val="32"/>
          <w:szCs w:val="32"/>
          <w:lang w:eastAsia="zh-CN"/>
        </w:rPr>
        <w:t xml:space="preserve"> </w:t>
      </w:r>
      <w:r>
        <w:t>《债权申报材料目录》（附件一）</w:t>
      </w:r>
    </w:p>
    <w:p w14:paraId="50FF9731">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请依序填写各项书面材料名称，并逐项注明该份纸质材料的总</w:t>
      </w:r>
      <w:r>
        <w:rPr>
          <w:rFonts w:ascii="Times New Roman" w:hAnsi="Times New Roman" w:eastAsia="仿宋_GB2312" w:cs="仿宋_GB2312"/>
          <w:spacing wpsCustomData:val="-6" w:val="7"/>
          <w:sz w:val="32"/>
          <w:szCs w:val="32"/>
        </w:rPr>
        <w:t>页数、在完整申</w:t>
      </w:r>
      <w:r>
        <w:rPr>
          <w:rFonts w:ascii="Times New Roman" w:hAnsi="Times New Roman" w:eastAsia="仿宋_GB2312" w:cs="仿宋_GB2312"/>
          <w:spacing wpsCustomData:val="7" w:val="13"/>
          <w:sz w:val="32"/>
          <w:szCs w:val="32"/>
        </w:rPr>
        <w:t>报材料中的页码范</w:t>
      </w:r>
      <w:r>
        <w:rPr>
          <w:rFonts w:ascii="Times New Roman" w:hAnsi="Times New Roman" w:eastAsia="仿宋_GB2312" w:cs="仿宋_GB2312"/>
          <w:spacing wpsCustomData:val="29" w:val="35"/>
          <w:sz w:val="32"/>
          <w:szCs w:val="32"/>
        </w:rPr>
        <w:t>围</w:t>
      </w:r>
      <w:r>
        <w:rPr>
          <w:rFonts w:ascii="Times New Roman" w:hAnsi="Times New Roman" w:eastAsia="仿宋_GB2312" w:cs="仿宋_GB2312"/>
          <w:spacing wpsCustomData:val="-6" w:val="7"/>
          <w:sz w:val="32"/>
          <w:szCs w:val="32"/>
        </w:rPr>
        <w:t>、系原件或复印</w:t>
      </w:r>
      <w:r>
        <w:rPr>
          <w:rFonts w:ascii="Times New Roman" w:hAnsi="Times New Roman" w:eastAsia="仿宋_GB2312" w:cs="仿宋_GB2312"/>
          <w:spacing wpsCustomData:val="7" w:val="13"/>
          <w:sz w:val="32"/>
          <w:szCs w:val="32"/>
        </w:rPr>
        <w:t>件</w:t>
      </w:r>
      <w:r>
        <w:rPr>
          <w:rFonts w:ascii="Times New Roman" w:hAnsi="Times New Roman" w:eastAsia="仿宋_GB2312" w:cs="仿宋_GB2312"/>
          <w:spacing wpsCustomData:val="-6" w:val="-6"/>
          <w:sz w:val="32"/>
          <w:szCs w:val="32"/>
        </w:rPr>
        <w:t>等</w:t>
      </w:r>
      <w:r>
        <w:rPr>
          <w:rFonts w:ascii="Times New Roman" w:hAnsi="Times New Roman" w:eastAsia="仿宋_GB2312" w:cs="仿宋_GB2312"/>
          <w:sz w:val="32"/>
          <w:szCs w:val="32"/>
        </w:rPr>
        <w:t>信息。</w:t>
      </w:r>
    </w:p>
    <w:p w14:paraId="2AD47302">
      <w:pPr>
        <w:pStyle w:val="5"/>
        <w:widowControl/>
        <w:numPr>
          <w:ilvl w:val="0"/>
          <w:numId w:val="0"/>
        </w:numPr>
        <w:ind w:left="0" w:leftChars="0" w:firstLine="640"/>
        <w:rPr>
          <w:b w:val="0"/>
        </w:rPr>
      </w:pPr>
      <w:r>
        <w:rPr>
          <w:rFonts w:hint="eastAsia"/>
          <w:lang w:eastAsia="zh-CN"/>
        </w:rPr>
        <w:t>2.</w:t>
      </w:r>
      <w:r>
        <w:rPr>
          <w:rFonts w:hint="eastAsia" w:ascii="仿宋" w:hAnsi="仿宋" w:eastAsia="仿宋" w:cs="仿宋"/>
          <w:sz w:val="32"/>
          <w:szCs w:val="32"/>
          <w:lang w:eastAsia="zh-CN"/>
        </w:rPr>
        <w:t xml:space="preserve"> </w:t>
      </w:r>
      <w:r>
        <w:t>《债权申报表》（附件二）</w:t>
      </w:r>
    </w:p>
    <w:p w14:paraId="29A21511">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请以具体债务人为单位，按照本指引的要求，逐笔分别单独填写《债权申报表》。请认真填写债权人的基本信息、联系方式、申报债权金额、是否存在担保以及诉讼、仲裁等情况，并确保信息的真实、准确和完整。</w:t>
      </w:r>
    </w:p>
    <w:p w14:paraId="559D8ABF">
      <w:pPr>
        <w:pStyle w:val="5"/>
        <w:widowControl/>
        <w:numPr>
          <w:ilvl w:val="0"/>
          <w:numId w:val="0"/>
        </w:numPr>
        <w:ind w:left="0" w:leftChars="0" w:firstLine="640"/>
        <w:rPr>
          <w:b w:val="0"/>
        </w:rPr>
      </w:pPr>
      <w:r>
        <w:rPr>
          <w:rFonts w:hint="eastAsia"/>
          <w:lang w:eastAsia="zh-CN"/>
        </w:rPr>
        <w:t>3.</w:t>
      </w:r>
      <w:r>
        <w:rPr>
          <w:rFonts w:hint="eastAsia" w:ascii="仿宋" w:hAnsi="仿宋" w:eastAsia="仿宋" w:cs="仿宋"/>
          <w:sz w:val="32"/>
          <w:szCs w:val="32"/>
          <w:lang w:eastAsia="zh-CN"/>
        </w:rPr>
        <w:t xml:space="preserve"> </w:t>
      </w:r>
      <w:r>
        <w:t>《债权申报说明》（附件三）</w:t>
      </w:r>
    </w:p>
    <w:p w14:paraId="1E218A8C">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请以具体债务人为单位，按照本指引的要求，在《债权申报说明》中逐笔分别单独说明。写明该笔具体债权的形成原因及经过、债权性质与构成、金额、利息（如有）的计算方法和详细计算过程、担保（如有）具体情况（包括债务人自行提供担保和第三方提供担保）等相关事项。</w:t>
      </w:r>
    </w:p>
    <w:p w14:paraId="16719FF1">
      <w:pPr>
        <w:pStyle w:val="5"/>
        <w:widowControl/>
        <w:numPr>
          <w:ilvl w:val="0"/>
          <w:numId w:val="0"/>
        </w:numPr>
        <w:ind w:left="0" w:leftChars="0" w:firstLine="640"/>
        <w:rPr>
          <w:b w:val="0"/>
        </w:rPr>
      </w:pPr>
      <w:r>
        <w:rPr>
          <w:rFonts w:hint="eastAsia"/>
          <w:lang w:eastAsia="zh-CN"/>
        </w:rPr>
        <w:t>4.</w:t>
      </w:r>
      <w:r>
        <w:rPr>
          <w:rFonts w:hint="eastAsia" w:ascii="仿宋" w:hAnsi="仿宋" w:eastAsia="仿宋" w:cs="仿宋"/>
          <w:sz w:val="32"/>
          <w:szCs w:val="32"/>
          <w:lang w:eastAsia="zh-CN"/>
        </w:rPr>
        <w:t xml:space="preserve"> </w:t>
      </w:r>
      <w:r>
        <w:t>《债权人联系方式确认书》（附件六）</w:t>
      </w:r>
    </w:p>
    <w:p w14:paraId="17A9BC21">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请准确填写收件人、手机号码（非座机）、通讯地址、电子邮箱等通讯信息。其中，手机号将用于接收参加债权人会议信息等重要通知及与临时管理人的日常联络，请确保手机畅通，并建议提供中国大陆手机号。</w:t>
      </w:r>
    </w:p>
    <w:p w14:paraId="7D111934">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网络债权申报系统中填写的通讯信息需与《债权人联系方式确认书》中的通讯信息保持一致。前述通讯信息如有变更，请务必及时与临时管理人沟通，并以书面方式通知临时管理人。非因临时管理人过错导致的通讯不畅所引致的一切不利后果，均由债权人自行承担。</w:t>
      </w:r>
    </w:p>
    <w:p w14:paraId="0D578C66">
      <w:pPr>
        <w:pStyle w:val="5"/>
        <w:widowControl/>
        <w:numPr>
          <w:ilvl w:val="0"/>
          <w:numId w:val="0"/>
        </w:numPr>
        <w:ind w:left="0" w:leftChars="0" w:firstLine="640"/>
        <w:rPr>
          <w:b w:val="0"/>
        </w:rPr>
      </w:pPr>
      <w:r>
        <w:rPr>
          <w:rFonts w:hint="eastAsia"/>
          <w:lang w:eastAsia="zh-CN"/>
        </w:rPr>
        <w:t>5.</w:t>
      </w:r>
      <w:r>
        <w:rPr>
          <w:rFonts w:hint="eastAsia" w:ascii="仿宋" w:hAnsi="仿宋" w:eastAsia="仿宋" w:cs="仿宋"/>
          <w:sz w:val="32"/>
          <w:szCs w:val="32"/>
          <w:lang w:eastAsia="zh-CN"/>
        </w:rPr>
        <w:t xml:space="preserve"> </w:t>
      </w:r>
      <w:r>
        <w:t>《承诺书》（附件七）</w:t>
      </w:r>
    </w:p>
    <w:p w14:paraId="03D443C2">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为确保债权申报工作严肃有效，请各位债权人同步提交书面《承诺书》，承诺提交的全部材料真实、准确、合法、有效且完整；承诺所有复印件、扫描件均已与原件核对无异，邮寄材料同线上申报系统提交材料一致，否则由此导致的一切法律后果自行承担。</w:t>
      </w:r>
    </w:p>
    <w:p w14:paraId="716B9D78">
      <w:pPr>
        <w:pStyle w:val="19"/>
        <w:widowControl/>
        <w:ind w:firstLine="480"/>
        <w:rPr>
          <w:rFonts w:ascii="Times New Roman" w:hAnsi="Times New Roman" w:eastAsia="仿宋_GB2312" w:cs="仿宋_GB2312"/>
          <w:sz w:val="32"/>
          <w:szCs w:val="32"/>
        </w:rPr>
      </w:pPr>
      <w:r>
        <w:rPr>
          <w:rFonts w:ascii="Times New Roman" w:hAnsi="Times New Roman" w:eastAsia="仿宋_GB2312" w:cs="仿宋_GB2312"/>
          <w:spacing wpsCustomData:val="-6" w:val="1"/>
          <w:sz w:val="32"/>
          <w:szCs w:val="32"/>
        </w:rPr>
        <w:t>上述附件材料均上传至网络债权申报页面</w:t>
      </w:r>
      <w:r>
        <w:rPr>
          <w:rFonts w:ascii="Times New Roman" w:hAnsi="Times New Roman" w:eastAsia="仿宋_GB2312" w:cs="仿宋_GB2312"/>
          <w:spacing wpsCustomData:val="-6" w:val="2"/>
          <w:sz w:val="32"/>
          <w:szCs w:val="32"/>
        </w:rPr>
        <w:t>的</w:t>
      </w:r>
      <w:r>
        <w:rPr>
          <w:rFonts w:ascii="Times New Roman" w:hAnsi="Times New Roman" w:eastAsia="仿宋_GB2312" w:cs="仿宋_GB2312"/>
          <w:spacing wpsCustomData:val="-6" w:val="1"/>
          <w:sz w:val="32"/>
          <w:szCs w:val="32"/>
        </w:rPr>
        <w:t>＂补充说明</w:t>
      </w:r>
      <w:r>
        <w:rPr>
          <w:rFonts w:ascii="Times New Roman" w:hAnsi="Times New Roman" w:eastAsia="仿宋_GB2312" w:cs="仿宋_GB2312"/>
          <w:spacing wpsCustomData:val="-6" w:val="-6"/>
          <w:sz w:val="32"/>
          <w:szCs w:val="32"/>
        </w:rPr>
        <w:t>＂</w:t>
      </w:r>
      <w:r>
        <w:rPr>
          <w:rFonts w:ascii="Times New Roman" w:hAnsi="Times New Roman" w:eastAsia="仿宋_GB2312" w:cs="仿宋_GB2312"/>
          <w:sz w:val="32"/>
          <w:szCs w:val="32"/>
        </w:rPr>
        <w:t>部分。</w:t>
      </w:r>
    </w:p>
    <w:p w14:paraId="6EAD565A">
      <w:pPr>
        <w:pStyle w:val="4"/>
        <w:widowControl/>
        <w:numPr>
          <w:ilvl w:val="0"/>
          <w:numId w:val="0"/>
        </w:numPr>
        <w:ind w:left="0" w:leftChars="0" w:firstLine="640"/>
        <w:rPr>
          <w:rFonts w:hint="eastAsia" w:ascii="楷体_GB2312" w:hAnsi="楷体_GB2312" w:eastAsia="楷体_GB2312" w:cs="楷体_GB2312"/>
          <w:b w:val="0"/>
        </w:rPr>
      </w:pPr>
      <w:r>
        <w:rPr>
          <w:rFonts w:hint="eastAsia"/>
          <w:lang w:eastAsia="zh-CN"/>
        </w:rPr>
        <w:t>（四）</w:t>
      </w:r>
      <w:r>
        <w:rPr>
          <w:rFonts w:hint="eastAsia" w:ascii="仿宋" w:hAnsi="仿宋" w:eastAsia="仿宋" w:cs="仿宋"/>
          <w:sz w:val="32"/>
          <w:szCs w:val="32"/>
          <w:lang w:eastAsia="zh-CN"/>
        </w:rPr>
        <w:t xml:space="preserve">  </w:t>
      </w:r>
      <w:r>
        <w:t>债权人认为需要提交的其他材料</w:t>
      </w:r>
    </w:p>
    <w:p w14:paraId="3155BE7F">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如债权人认为需提交其他材料的，可参照前述标准补充提供相关材料并上传PDF扫描件。</w:t>
      </w:r>
    </w:p>
    <w:p w14:paraId="00336A2F">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上述材料均应上传至网络债权申报系统；如系统中未有材料对</w:t>
      </w:r>
      <w:r>
        <w:rPr>
          <w:rFonts w:ascii="Times New Roman" w:hAnsi="Times New Roman" w:eastAsia="仿宋_GB2312" w:cs="仿宋_GB2312"/>
          <w:spacing wpsCustomData:val="-6" w:val="7"/>
          <w:sz w:val="32"/>
          <w:szCs w:val="32"/>
        </w:rPr>
        <w:t>应上传</w:t>
      </w:r>
      <w:r>
        <w:rPr>
          <w:rFonts w:ascii="Times New Roman" w:hAnsi="Times New Roman" w:eastAsia="仿宋_GB2312" w:cs="仿宋_GB2312"/>
          <w:spacing wpsCustomData:val="15" w:val="22"/>
          <w:sz w:val="32"/>
          <w:szCs w:val="32"/>
        </w:rPr>
        <w:t>处</w:t>
      </w:r>
      <w:r>
        <w:rPr>
          <w:rFonts w:ascii="Times New Roman" w:hAnsi="Times New Roman" w:eastAsia="仿宋_GB2312" w:cs="仿宋_GB2312"/>
          <w:spacing wpsCustomData:val="7" w:val="13"/>
          <w:sz w:val="32"/>
          <w:szCs w:val="32"/>
        </w:rPr>
        <w:t>，</w:t>
      </w:r>
      <w:r>
        <w:rPr>
          <w:rFonts w:ascii="Times New Roman" w:hAnsi="Times New Roman" w:eastAsia="仿宋_GB2312" w:cs="仿宋_GB2312"/>
          <w:spacing wpsCustomData:val="-6" w:val="7"/>
          <w:sz w:val="32"/>
          <w:szCs w:val="32"/>
        </w:rPr>
        <w:t>一律上传</w:t>
      </w:r>
      <w:r>
        <w:rPr>
          <w:rFonts w:ascii="Times New Roman" w:hAnsi="Times New Roman" w:eastAsia="仿宋_GB2312" w:cs="仿宋_GB2312"/>
          <w:spacing wpsCustomData:val="7" w:val="13"/>
          <w:sz w:val="32"/>
          <w:szCs w:val="32"/>
        </w:rPr>
        <w:t>至网络债权申报页面的</w:t>
      </w:r>
      <w:r>
        <w:rPr>
          <w:rFonts w:ascii="Times New Roman" w:hAnsi="Times New Roman" w:eastAsia="仿宋_GB2312" w:cs="仿宋_GB2312"/>
          <w:spacing wpsCustomData:val="15" w:val="22"/>
          <w:sz w:val="32"/>
          <w:szCs w:val="32"/>
        </w:rPr>
        <w:t>＂</w:t>
      </w:r>
      <w:r>
        <w:rPr>
          <w:rFonts w:ascii="Times New Roman" w:hAnsi="Times New Roman" w:eastAsia="仿宋_GB2312" w:cs="仿宋_GB2312"/>
          <w:spacing wpsCustomData:val="-6" w:val="7"/>
          <w:sz w:val="32"/>
          <w:szCs w:val="32"/>
        </w:rPr>
        <w:t>补充说</w:t>
      </w:r>
      <w:r>
        <w:rPr>
          <w:rFonts w:ascii="Times New Roman" w:hAnsi="Times New Roman" w:eastAsia="仿宋_GB2312" w:cs="仿宋_GB2312"/>
          <w:spacing wpsCustomData:val="15" w:val="21"/>
          <w:sz w:val="32"/>
          <w:szCs w:val="32"/>
        </w:rPr>
        <w:t>明</w:t>
      </w:r>
      <w:r>
        <w:rPr>
          <w:rFonts w:ascii="Times New Roman" w:hAnsi="Times New Roman" w:eastAsia="仿宋_GB2312" w:cs="仿宋_GB2312"/>
          <w:spacing wpsCustomData:val="-6" w:val="-6"/>
          <w:sz w:val="32"/>
          <w:szCs w:val="32"/>
        </w:rPr>
        <w:t>＂</w:t>
      </w:r>
      <w:r>
        <w:rPr>
          <w:rFonts w:ascii="Times New Roman" w:hAnsi="Times New Roman" w:eastAsia="仿宋_GB2312" w:cs="仿宋_GB2312"/>
          <w:sz w:val="32"/>
          <w:szCs w:val="32"/>
        </w:rPr>
        <w:t>部分。</w:t>
      </w:r>
    </w:p>
    <w:p w14:paraId="2C294B6F">
      <w:pPr>
        <w:pStyle w:val="3"/>
        <w:widowControl/>
        <w:numPr>
          <w:ilvl w:val="0"/>
          <w:numId w:val="0"/>
        </w:numPr>
        <w:ind w:left="0" w:leftChars="0" w:firstLine="640"/>
        <w:rPr>
          <w:b w:val="0"/>
        </w:rPr>
      </w:pPr>
      <w:r>
        <w:rPr>
          <w:rFonts w:hint="eastAsia"/>
          <w:lang w:eastAsia="zh-CN"/>
        </w:rPr>
        <w:t>六、</w:t>
      </w:r>
      <w:r>
        <w:rPr>
          <w:rFonts w:hint="eastAsia" w:ascii="仿宋" w:hAnsi="仿宋" w:eastAsia="仿宋" w:cs="仿宋"/>
          <w:kern w:val="44"/>
          <w:sz w:val="32"/>
          <w:szCs w:val="32"/>
          <w:lang w:eastAsia="zh-CN"/>
        </w:rPr>
        <w:t xml:space="preserve"> </w:t>
      </w:r>
      <w:r>
        <w:t>网上申报完成后需向临时管理人邮寄的材料</w:t>
      </w:r>
    </w:p>
    <w:p w14:paraId="55DCA302">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请各债权人完成线上网络申报后，耐心等待通知。待接到</w:t>
      </w:r>
      <w:r>
        <w:rPr>
          <w:rFonts w:hint="eastAsia" w:cs="仿宋_GB2312"/>
          <w:sz w:val="32"/>
          <w:szCs w:val="32"/>
          <w:lang w:val="en-US" w:eastAsia="zh-CN"/>
        </w:rPr>
        <w:t>形式审查通过的通知</w:t>
      </w:r>
      <w:r>
        <w:rPr>
          <w:rFonts w:ascii="Times New Roman" w:hAnsi="Times New Roman" w:eastAsia="仿宋_GB2312" w:cs="仿宋_GB2312"/>
          <w:sz w:val="32"/>
          <w:szCs w:val="32"/>
        </w:rPr>
        <w:t>后，将线上网络申报的所有资料邮寄至临时管理人处。纸质材料需一式两份。快递建议使用中国邮政特快专递（EMS）。</w:t>
      </w:r>
    </w:p>
    <w:p w14:paraId="63318C1C">
      <w:pPr>
        <w:pStyle w:val="3"/>
        <w:widowControl/>
        <w:numPr>
          <w:ilvl w:val="0"/>
          <w:numId w:val="0"/>
        </w:numPr>
        <w:ind w:left="0" w:leftChars="0" w:firstLine="640"/>
        <w:rPr>
          <w:b w:val="0"/>
        </w:rPr>
      </w:pPr>
      <w:r>
        <w:rPr>
          <w:rFonts w:hint="eastAsia"/>
          <w:lang w:eastAsia="zh-CN"/>
        </w:rPr>
        <w:t>七、</w:t>
      </w:r>
      <w:r>
        <w:rPr>
          <w:rFonts w:hint="eastAsia" w:ascii="仿宋" w:hAnsi="仿宋" w:eastAsia="仿宋" w:cs="仿宋"/>
          <w:kern w:val="44"/>
          <w:sz w:val="32"/>
          <w:szCs w:val="32"/>
          <w:lang w:eastAsia="zh-CN"/>
        </w:rPr>
        <w:t xml:space="preserve"> </w:t>
      </w:r>
      <w:r>
        <w:t>特别注意事项</w:t>
      </w:r>
    </w:p>
    <w:p w14:paraId="40AC56AB">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（一）</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债权人申报的债权已经获得连带债务人或保证人清偿的，须及时告知临时管理人，隐瞒债权受偿情况将承担相应法律责任。</w:t>
      </w:r>
    </w:p>
    <w:p w14:paraId="51BEDD10">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申报中所涉及的＂有财产担保债权＂是指乳业公司以其自有财产提供抵质押担保的债权；＂利息＂包括一般利息、罚息、违约金等费用；＂其他费用＂特指诉讼费等债权实现费用；凡涉及金额的单位均为人民币元并保留小数点后2位数。</w:t>
      </w:r>
    </w:p>
    <w:p w14:paraId="52E61862">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（三）</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请各债权人在收到申报通知后及时向临时管理人提交申报材料。因本案债权情况复杂，如各债权人申报拖延，可能造成大量债权集中于申报截止日前的数日内申报，以致债权申报审查工作难以及时完成，进而影响到债权人预表决权的行使。</w:t>
      </w:r>
    </w:p>
    <w:p w14:paraId="5CCA5CD4">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（四）</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外国企业或者组织及其代表人提交的身份证明文件，在中国领域内没有住所的外国人、无国籍人及外国企业、组织从中国域外寄交或托交的授权委托书，应依法经所在国公证机关证明并经中国驻该国使、领馆认证，或者履行中国与该所在国订立的有关条约中规定的证明手续；外国人、外国企业或组织的代表人在中国境内签署的授权委托书，需经中国公证机构公证；债权人提交的在中国领域外形成的涉及身份关系的证据，应依法经所在国公证机关证明并经中国驻该国使、领馆认证，或者履行中国与该所在国订立的有关条约中规定的证明手续；债权人提交的在中国领域外形成的公文书证，应依法经所在国公证机关证明</w:t>
      </w:r>
      <w:r>
        <w:rPr>
          <w:rFonts w:ascii="Times New Roman" w:hAnsi="Times New Roman" w:eastAsia="仿宋_GB2312" w:cs="仿宋_GB2312"/>
          <w:spacing wpsCustomData:val="-6" w:val="7"/>
          <w:sz w:val="32"/>
          <w:szCs w:val="32"/>
        </w:rPr>
        <w:t>，或者履行中国与该所在国订立的有关条约中规定的证</w:t>
      </w:r>
      <w:r>
        <w:rPr>
          <w:rFonts w:ascii="Times New Roman" w:hAnsi="Times New Roman" w:eastAsia="仿宋_GB2312" w:cs="仿宋_GB2312"/>
          <w:spacing wpsCustomData:val="-6" w:val="-6"/>
          <w:sz w:val="32"/>
          <w:szCs w:val="32"/>
        </w:rPr>
        <w:t>明</w:t>
      </w:r>
      <w:r>
        <w:rPr>
          <w:rFonts w:ascii="Times New Roman" w:hAnsi="Times New Roman" w:eastAsia="仿宋_GB2312" w:cs="仿宋_GB2312"/>
          <w:sz w:val="32"/>
          <w:szCs w:val="32"/>
        </w:rPr>
        <w:t>手续。</w:t>
      </w:r>
    </w:p>
    <w:p w14:paraId="15BD8DEB">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（五）</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港澳台债权人进行债权申报的，根据《中华人民共和国民事诉讼法》等法律法规的规定，债权人提交的所有资料均需经过有公证资质的公证机构进行公证，以证明债权人主体资格和依法设立、变更、终止法律关系的行为以及有法律意义的事实和文书等的真实性和合法性。</w:t>
      </w:r>
    </w:p>
    <w:p w14:paraId="43DBA4D4">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（六）</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申报债权后若发生债权转让的，需及时与临时管理人</w:t>
      </w:r>
      <w:r>
        <w:rPr>
          <w:rFonts w:ascii="Times New Roman" w:hAnsi="Times New Roman" w:eastAsia="仿宋_GB2312" w:cs="仿宋_GB2312"/>
          <w:spacing wpsCustomData:val="-6" w:val="7"/>
          <w:sz w:val="32"/>
          <w:szCs w:val="32"/>
        </w:rPr>
        <w:t>取得沟</w:t>
      </w:r>
      <w:r>
        <w:rPr>
          <w:rFonts w:ascii="Times New Roman" w:hAnsi="Times New Roman" w:eastAsia="仿宋_GB2312" w:cs="仿宋_GB2312"/>
          <w:spacing wpsCustomData:val="29" w:val="36"/>
          <w:sz w:val="32"/>
          <w:szCs w:val="32"/>
        </w:rPr>
        <w:t>通</w:t>
      </w:r>
      <w:r>
        <w:rPr>
          <w:rFonts w:ascii="Times New Roman" w:hAnsi="Times New Roman" w:eastAsia="仿宋_GB2312" w:cs="仿宋_GB2312"/>
          <w:spacing wpsCustomData:val="-6" w:val="7"/>
          <w:sz w:val="32"/>
          <w:szCs w:val="32"/>
        </w:rPr>
        <w:t>，并在</w:t>
      </w:r>
      <w:r>
        <w:rPr>
          <w:rFonts w:ascii="Times New Roman" w:hAnsi="Times New Roman" w:eastAsia="仿宋_GB2312" w:cs="仿宋_GB2312"/>
          <w:spacing wpsCustomData:val="7" w:val="13"/>
          <w:sz w:val="32"/>
          <w:szCs w:val="32"/>
        </w:rPr>
        <w:t>签署债权转让协议后及时书面通知临时</w:t>
      </w:r>
      <w:r>
        <w:rPr>
          <w:rFonts w:ascii="Times New Roman" w:hAnsi="Times New Roman" w:eastAsia="仿宋_GB2312" w:cs="仿宋_GB2312"/>
          <w:spacing wpsCustomData:val="-6" w:val="-6"/>
          <w:sz w:val="32"/>
          <w:szCs w:val="32"/>
        </w:rPr>
        <w:t>管</w:t>
      </w:r>
      <w:r>
        <w:rPr>
          <w:rFonts w:ascii="Times New Roman" w:hAnsi="Times New Roman" w:eastAsia="仿宋_GB2312" w:cs="仿宋_GB2312"/>
          <w:sz w:val="32"/>
          <w:szCs w:val="32"/>
        </w:rPr>
        <w:t>理人。</w:t>
      </w:r>
    </w:p>
    <w:p w14:paraId="050938B4">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（七）</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如债权人提交的材料是外文的，应当同时提交中文翻译件，且需经过有公证资质的公证机构进行译文公证。</w:t>
      </w:r>
    </w:p>
    <w:p w14:paraId="7E08E288">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（八）</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债权人以外币申报债权的，应按照债权申报基准日</w:t>
      </w:r>
      <w:r>
        <w:rPr>
          <w:rFonts w:hint="eastAsia" w:cs="仿宋_GB2312"/>
          <w:sz w:val="32"/>
          <w:szCs w:val="32"/>
          <w:lang w:val="en-US" w:eastAsia="zh-CN"/>
        </w:rPr>
        <w:t>（即2026年9月30日）</w:t>
      </w:r>
      <w:r>
        <w:rPr>
          <w:rFonts w:ascii="Times New Roman" w:hAnsi="Times New Roman" w:eastAsia="仿宋_GB2312" w:cs="仿宋_GB2312"/>
          <w:sz w:val="32"/>
          <w:szCs w:val="32"/>
        </w:rPr>
        <w:t>中国人民银行公布的外币兑人民币的汇率中间价统一折算为人民币。债权人未折算为人民币的，临时管理人有权不接受其申报。债权人申报利息的，应以折算为人民币后的本金数额为计息基数。</w:t>
      </w:r>
    </w:p>
    <w:p w14:paraId="742A05BB">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（九）</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债权人接到</w:t>
      </w:r>
      <w:r>
        <w:rPr>
          <w:rFonts w:hint="eastAsia" w:cs="仿宋_GB2312"/>
          <w:sz w:val="32"/>
          <w:szCs w:val="32"/>
          <w:lang w:val="en-US" w:eastAsia="zh-CN"/>
        </w:rPr>
        <w:t>形式审查通过的通知</w:t>
      </w:r>
      <w:r>
        <w:rPr>
          <w:rFonts w:ascii="Times New Roman" w:hAnsi="Times New Roman" w:eastAsia="仿宋_GB2312" w:cs="仿宋_GB2312"/>
          <w:sz w:val="32"/>
          <w:szCs w:val="32"/>
        </w:rPr>
        <w:t>后邮寄债权申报材料，应自行承担邮寄费用，临时管理人不接受以到付方式邮寄的债权申报材料。</w:t>
      </w:r>
    </w:p>
    <w:p w14:paraId="7F1E1C77">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应认可按照登记信息以书面邮寄、电话、短信、电子邮件等通讯方式接收通知及文件、材料；如登记信息变更，债权人应以书面形式通知临时管理人。临时管理人将相关文件邮寄到指定地址、以短信形式发送至指定号码或以电子邮件方式发至指定邮箱均视为有效送达，烦请债权人正确填写通讯方式，避免产生相关文件无法送达的情形。</w:t>
      </w:r>
    </w:p>
    <w:p w14:paraId="22757306">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（十一）</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债权人有义务保证其在网上提交的文件资料、经临时管理人通知后邮寄的材料与原件均保持一致，并持续保管相关债权申报材料中复印件所对应的原件，本项义务在债权人提交复印件资料时生效。若债权人网上提交的文件资料与经临时管理人通知后邮寄的材料不一致的，以债权人网上提交的文件资料所载内容为准，由此可能产生的不利后果由债权人自行承担。</w:t>
      </w:r>
    </w:p>
    <w:p w14:paraId="09C305E4">
      <w:pPr>
        <w:pStyle w:val="19"/>
        <w:widowControl/>
        <w:numPr>
          <w:ilvl w:val="0"/>
          <w:numId w:val="0"/>
        </w:numPr>
        <w:ind w:left="0" w:leftChars="0" w:firstLine="616"/>
        <w:rPr>
          <w:rFonts w:hint="eastAsia" w:ascii="仿宋_GB2312" w:hAnsi="仿宋_GB2312" w:eastAsia="仿宋_GB2312" w:cs="仿宋_GB2312"/>
          <w:b w:val="0"/>
          <w:sz w:val="32"/>
          <w:szCs w:val="32"/>
        </w:rPr>
      </w:pPr>
      <w:r>
        <w:rPr>
          <w:rFonts w:hint="eastAsia" w:cs="仿宋_GB2312"/>
          <w:sz w:val="32"/>
          <w:szCs w:val="32"/>
          <w:lang w:eastAsia="zh-CN"/>
        </w:rPr>
        <w:t>（十二）</w:t>
      </w:r>
      <w:r>
        <w:rPr>
          <w:rFonts w:hint="eastAsia" w:ascii="仿宋" w:hAnsi="仿宋" w:eastAsia="仿宋" w:cs="仿宋"/>
          <w:spacing w:val="-6"/>
          <w:sz w:val="32"/>
          <w:szCs w:val="32"/>
          <w:lang w:eastAsia="zh-CN"/>
        </w:rPr>
        <w:t xml:space="preserve"> </w:t>
      </w:r>
      <w:r>
        <w:rPr>
          <w:rFonts w:ascii="Times New Roman" w:hAnsi="Times New Roman" w:eastAsia="仿宋_GB2312" w:cs="仿宋_GB2312"/>
          <w:sz w:val="32"/>
          <w:szCs w:val="32"/>
        </w:rPr>
        <w:t>本指引仅为针对债权人申报债权时注意事项及风险告知的特别提示，文本中加粗字体及下划线部分请债权人予以合理关注。本指引不视为临时管理人出具给债权人的法律意见，亦不视为临时管理人或债务人向债权人作出任何形式的承诺，亦不构成对无效债权（包括但不限于已过诉讼时效的债权等）的重新有效确认。</w:t>
      </w:r>
    </w:p>
    <w:p w14:paraId="03AA4345">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本指引未列明事项，按照《企业破产法》等法律法规和司法解释规定执行。本指引最终解释权归临时管理人所有。</w:t>
      </w:r>
    </w:p>
    <w:p w14:paraId="42E57C8C">
      <w:pPr>
        <w:rPr>
          <w:rFonts w:ascii="Times New Roman" w:hAnsi="Times New Roman" w:eastAsia="仿宋_GB2312" w:cs="仿宋_GB2312"/>
          <w:sz w:val="32"/>
          <w:szCs w:val="32"/>
        </w:rPr>
      </w:pPr>
      <w:r>
        <w:rPr>
          <w:rFonts w:ascii="Times New Roman" w:hAnsi="Times New Roman" w:eastAsia="仿宋_GB2312" w:cs="仿宋_GB2312"/>
          <w:sz w:val="32"/>
          <w:szCs w:val="32"/>
        </w:rPr>
        <w:br w:type="page"/>
      </w:r>
    </w:p>
    <w:p w14:paraId="4BA89775">
      <w:pPr>
        <w:pStyle w:val="19"/>
        <w:widowControl/>
        <w:rPr>
          <w:rFonts w:ascii="Times New Roman" w:hAnsi="Times New Roman" w:eastAsia="仿宋_GB2312" w:cs="仿宋_GB2312"/>
          <w:sz w:val="32"/>
          <w:szCs w:val="32"/>
        </w:rPr>
      </w:pPr>
      <mc:AlternateContent>
        <mc:Choice Requires="wpsCustomData">
          <wpsCustomData:docfieldStart id="2" docfieldname="附件_1" hidden="0" print="1" readonly="0" index="1"/>
        </mc:Choice>
      </mc:AlternateContent>
      <w:r>
        <w:rPr>
          <w:rFonts w:ascii="Times New Roman" w:hAnsi="Times New Roman" w:eastAsia="仿宋_GB2312" w:cs="仿宋_GB2312"/>
          <w:sz w:val="32"/>
          <w:szCs w:val="32"/>
        </w:rPr>
        <w:t>附件：</w:t>
      </w:r>
      <mc:AlternateContent>
        <mc:Choice Requires="wpsCustomData">
          <wpsCustomData:docfieldEnd id="2"/>
        </mc:Choice>
      </mc:AlternateContent>
    </w:p>
    <w:p w14:paraId="5D731698">
      <w:pPr>
        <w:pStyle w:val="19"/>
        <w:widowControl/>
        <w:ind w:firstLine="480"/>
        <w:rPr>
          <w:rFonts w:ascii="Times New Roman" w:hAnsi="Times New Roman" w:eastAsia="仿宋_GB2312" w:cs="仿宋_GB2312"/>
          <w:sz w:val="32"/>
          <w:szCs w:val="32"/>
        </w:rPr>
      </w:pPr>
      <w:r>
        <w:rPr>
          <w:rFonts w:ascii="Times New Roman" w:hAnsi="Times New Roman" w:eastAsia="仿宋_GB2312" w:cs="仿宋_GB2312"/>
          <w:spacing wpsCustomData:val="-6" w:val="9"/>
          <w:sz w:val="32"/>
          <w:szCs w:val="32"/>
        </w:rPr>
        <w:t>一、《河南三色鸽乳业有限公司预重整案债权申报材</w:t>
      </w:r>
      <w:r>
        <w:rPr>
          <w:rFonts w:ascii="Times New Roman" w:hAnsi="Times New Roman" w:eastAsia="仿宋_GB2312" w:cs="仿宋_GB2312"/>
          <w:spacing wpsCustomData:val="-6" w:val="-6"/>
          <w:sz w:val="32"/>
          <w:szCs w:val="32"/>
        </w:rPr>
        <w:t>料</w:t>
      </w:r>
      <w:r>
        <w:rPr>
          <w:rFonts w:ascii="Times New Roman" w:hAnsi="Times New Roman" w:eastAsia="仿宋_GB2312" w:cs="仿宋_GB2312"/>
          <w:sz w:val="32"/>
          <w:szCs w:val="32"/>
        </w:rPr>
        <w:t>目录》</w:t>
      </w:r>
    </w:p>
    <w:p w14:paraId="5BC9D5AC">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二、《河南三色鸽乳业有限公司预重整案债权申报表》</w:t>
      </w:r>
    </w:p>
    <w:p w14:paraId="4DCBB5CC">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三、《河南三色鸽乳业有限公司预重整案债权申报说明》</w:t>
      </w:r>
    </w:p>
    <w:p w14:paraId="4D3DC4D8">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四、《法定代表人（负责人）身份证明书》</w:t>
      </w:r>
    </w:p>
    <w:p w14:paraId="5CABCDDC">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五、《授权委托书》</w:t>
      </w:r>
    </w:p>
    <w:p w14:paraId="2A25AAC8">
      <w:pPr>
        <w:pStyle w:val="19"/>
        <w:widowControl/>
        <w:rPr>
          <w:rFonts w:ascii="Times New Roman" w:hAnsi="Times New Roman" w:eastAsia="仿宋_GB2312" w:cs="仿宋_GB2312"/>
          <w:sz w:val="32"/>
          <w:szCs w:val="32"/>
        </w:rPr>
      </w:pPr>
      <w:r>
        <w:rPr>
          <w:rFonts w:ascii="Times New Roman" w:hAnsi="Times New Roman" w:eastAsia="仿宋_GB2312" w:cs="仿宋_GB2312"/>
          <w:sz w:val="32"/>
          <w:szCs w:val="32"/>
        </w:rPr>
        <w:t>六、《河南三色鸽乳业有限公司预重整案债权人联系方式确认书》</w:t>
      </w:r>
    </w:p>
    <w:p w14:paraId="65E0BE6A">
      <w:pPr>
        <w:pStyle w:val="19"/>
        <w:widowControl/>
      </w:pPr>
      <w:r>
        <w:rPr>
          <w:rFonts w:ascii="Times New Roman" w:hAnsi="Times New Roman" w:eastAsia="仿宋_GB2312" w:cs="仿宋_GB2312"/>
          <w:sz w:val="32"/>
          <w:szCs w:val="32"/>
        </w:rPr>
        <w:t>七、《承诺书》</w:t>
      </w:r>
    </w:p>
    <w:p w14:paraId="1176D2B9">
      <w:pPr>
        <w:pStyle w:val="19"/>
        <w:widowControl/>
        <w:ind w:left="0" w:leftChars="0" w:firstLine="0" w:firstLineChars="0"/>
        <w:rPr>
          <w:rFonts w:ascii="Times New Roman" w:hAnsi="Times New Roman" w:eastAsia="仿宋_GB2312" w:cs="仿宋_GB2312"/>
          <w:sz w:val="32"/>
          <w:szCs w:val="32"/>
        </w:rPr>
      </w:pPr>
      <mc:AlternateContent>
        <mc:Choice Requires="wpsCustomData">
          <wpsCustomData:docfieldStart id="3" docfieldname="附件说明_1" hidden="0" print="1" readonly="0" index="5"/>
        </mc:Choice>
      </mc:AlternateContent>
    </w:p>
    <w:p w14:paraId="5E9035E7">
      <w:pPr>
        <w:pStyle w:val="19"/>
        <w:widowControl/>
        <w:spacing w:line="240" w:lineRule="auto"/>
        <w:ind w:left="1558" w:hanging="942" w:firstLineChars="0"/>
        <w:jc w:val="center"/>
        <w:rPr>
          <w:rFonts w:hint="eastAsia" w:ascii="Times New Roman" w:hAnsi="Times New Roman" w:eastAsia="仿宋_GB2312" w:cs="仿宋_GB2312"/>
          <w:sz w:val="32"/>
          <w:szCs w:val="32"/>
          <w:lang w:eastAsia="zh-CN"/>
        </w:rPr>
      </w:pPr>
      <w:r>
        <w:rPr>
          <w:rFonts w:hint="eastAsia" w:ascii="Times New Roman" w:hAnsi="Times New Roman" w:eastAsia="仿宋_GB2312" w:cs="仿宋_GB2312"/>
          <w:sz w:val="32"/>
          <w:szCs w:val="32"/>
          <w:lang w:eastAsia="zh-CN"/>
        </w:rPr>
        <w:drawing>
          <wp:inline distT="0" distB="0" distL="114300" distR="114300">
            <wp:extent cx="3343275" cy="3343275"/>
            <wp:effectExtent l="0" t="0" r="0" b="0"/>
            <wp:docPr id="3" name="图片 3" descr="债权申报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债权申报二维码"/>
                    <pic:cNvPicPr>
                      <a:picLocks noChangeAspect="1"/>
                    </pic:cNvPicPr>
                  </pic:nvPicPr>
                  <pic:blipFill>
                    <a:blip r:embed="rId10"/>
                    <a:stretch>
                      <a:fillRect/>
                    </a:stretch>
                  </pic:blipFill>
                  <pic:spPr>
                    <a:xfrm>
                      <a:off x="0" y="0"/>
                      <a:ext cx="3343275" cy="3343275"/>
                    </a:xfrm>
                    <a:prstGeom prst="rect">
                      <a:avLst/>
                    </a:prstGeom>
                  </pic:spPr>
                </pic:pic>
              </a:graphicData>
            </a:graphic>
          </wp:inline>
        </w:drawing>
      </w:r>
      <mc:AlternateContent>
        <mc:Choice Requires="wpsCustomData">
          <wpsCustomData:docfieldEnd id="3"/>
        </mc:Choice>
      </mc:AlternateContent>
    </w:p>
    <w:p w14:paraId="3CD00558">
      <w:pPr>
        <w:pStyle w:val="19"/>
        <w:bidi w:val="0"/>
      </w:pPr>
    </w:p>
    <w:sectPr>
      <w:headerReference r:id="rId5" w:type="default"/>
      <w:footerReference r:id="rId7" w:type="default"/>
      <w:headerReference r:id="rId6" w:type="even"/>
      <w:footerReference r:id="rId8" w:type="even"/>
      <w:pgSz w:w="11906" w:h="16838"/>
      <w:pgMar w:top="2098" w:right="1474" w:bottom="1984" w:left="1587" w:header="851" w:footer="1417" w:gutter="0"/>
      <w:pgNumType w:fmt="decimal" w:start="1"/>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ourier">
    <w:altName w:val="Courier New"/>
    <w:panose1 w:val="02060409020205020404"/>
    <w:charset w:val="00"/>
    <w:family w:val="auto"/>
    <w:pitch w:val="default"/>
    <w:sig w:usb0="00000000" w:usb1="00000000" w:usb2="00000000" w:usb3="00000000" w:csb0="00000093" w:csb1="00000000"/>
  </w:font>
  <w:font w:name="方正小标宋简体">
    <w:panose1 w:val="02000000000000000000"/>
    <w:charset w:val="86"/>
    <w:family w:val="auto"/>
    <w:pitch w:val="default"/>
    <w:sig w:usb0="00000001" w:usb1="08000000" w:usb2="00000000" w:usb3="00000000" w:csb0="00040000" w:csb1="00000000"/>
  </w:font>
  <w:font w:name="Cambria">
    <w:panose1 w:val="02040503050406030204"/>
    <w:charset w:val="00"/>
    <w:family w:val="auto"/>
    <w:pitch w:val="default"/>
    <w:sig w:usb0="E00006FF" w:usb1="420024FF" w:usb2="02000000" w:usb3="00000000" w:csb0="2000019F" w:csb1="00000000"/>
  </w:font>
  <w:font w:name="MS Gothic">
    <w:panose1 w:val="020B0609070205080204"/>
    <w:charset w:val="80"/>
    <w:family w:val="auto"/>
    <w:pitch w:val="default"/>
    <w:sig w:usb0="E00002FF" w:usb1="6AC7FDFB" w:usb2="08000012" w:usb3="00000000" w:csb0="4002009F" w:csb1="DFD7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A724F">
    <w:pPr>
      <w:pStyle w:val="24"/>
    </w:pPr>
    <w:r>
      <w:rPr>
        <w:sz w:val="2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3A9009">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alSs7WAAAABgEAAA8AAAAAAAAAAQAgAAAAIgAAAGRycy9kb3ducmV2&#10;LnhtbFBLAQIUABQAAAAIAIdO4kAMiZEMNwIAAGsEAAAOAAAAAAAAAAEAIAAAACUBAABkcnMvZTJv&#10;RG9jLnhtbFBLBQYAAAAABgAGAFkBAADOBQAAAAA=&#10;">
              <v:fill on="f" focussize="0,0"/>
              <v:stroke on="f" weight="0.5pt"/>
              <v:imagedata o:title=""/>
              <o:lock v:ext="edit" aspectratio="f"/>
              <v:textbox inset="16pt,0mm,16pt,0mm" style="mso-fit-shape-to-text:t;">
                <w:txbxContent>
                  <w:p w14:paraId="0A3A9009">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8BFF">
    <w:pPr>
      <w:pStyle w:val="24"/>
    </w:pPr>
    <w:r>
      <w:rPr>
        <w:sz w:val="24"/>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9AACB2">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wps:txbx>
                    <wps:bodyPr rot="0" spcFirstLastPara="0" vertOverflow="overflow" horzOverflow="overflow" vert="horz" wrap="none" lIns="203200" tIns="0" rIns="20320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1pt;height:144pt;width:144pt;mso-position-horizontal:outside;mso-position-horizontal-relative:margin;mso-wrap-style:none;z-index:251660288;mso-width-relative:page;mso-height-relative:page;" filled="f" stroked="f" coordsize="21600,21600" o:gfxdata="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AGpUrO1gAAAAYBAAAPAAAAAAAAAAEAIAAAACIAAABkcnMvZG93bnJl&#10;di54bWxQSwECFAAUAAAACACHTuJAc3nUujgCAABrBAAADgAAAAAAAAABACAAAAAlAQAAZHJzL2Uy&#10;b0RvYy54bWxQSwUGAAAAAAYABgBZAQAAzwUAAAAA&#10;">
              <v:fill on="f" focussize="0,0"/>
              <v:stroke on="f" weight="0.5pt"/>
              <v:imagedata o:title=""/>
              <o:lock v:ext="edit" aspectratio="f"/>
              <v:textbox inset="16pt,0mm,16pt,0mm" style="mso-fit-shape-to-text:t;">
                <w:txbxContent>
                  <w:p w14:paraId="799AACB2">
                    <w:pPr>
                      <w:pStyle w:val="24"/>
                      <w:rPr>
                        <w:rFonts w:ascii="宋体" w:hAnsi="宋体" w:eastAsia="宋体"/>
                        <w:sz w:val="28"/>
                      </w:rPr>
                    </w:pPr>
                    <w:r>
                      <w:rPr>
                        <w:rFonts w:ascii="宋体" w:hAnsi="宋体" w:eastAsia="宋体"/>
                        <w:sz w:val="28"/>
                      </w:rPr>
                      <w:t>—</w:t>
                    </w:r>
                    <w:r>
                      <w:rPr>
                        <w:rFonts w:ascii="宋体" w:hAnsi="宋体" w:eastAsia="宋体"/>
                        <w:sz w:val="24"/>
                      </w:rPr>
                      <w:t xml:space="preserve">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xml:space="preserve"> </w:t>
                    </w:r>
                    <w:r>
                      <w:rPr>
                        <w:rFonts w:ascii="宋体" w:hAnsi="宋体" w:eastAsia="宋体"/>
                        <w:sz w:val="28"/>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26" w:lineRule="auto"/>
      </w:pPr>
      <w:r>
        <w:separator/>
      </w:r>
    </w:p>
  </w:footnote>
  <w:footnote w:type="continuationSeparator" w:id="1">
    <w:p>
      <w:pPr>
        <w:spacing w:before="0" w:after="0" w:line="32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26079">
    <w:pPr>
      <w:pStyle w:val="2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2C964">
    <w:pPr>
      <w:pStyle w:val="2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documentProtection w:enforcement="0"/>
  <w:defaultTabStop w:val="720"/>
  <w:evenAndOddHeaders w:val="1"/>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2E53"/>
    <w:rsid w:val="00034616"/>
    <w:rsid w:val="0006063C"/>
    <w:rsid w:val="0015074B"/>
    <w:rsid w:val="0029639D"/>
    <w:rsid w:val="00326F90"/>
    <w:rsid w:val="00AA1D8D"/>
    <w:rsid w:val="00B47730"/>
    <w:rsid w:val="00CB0664"/>
    <w:rsid w:val="00FC693F"/>
    <w:rsid w:val="0460098F"/>
    <w:rsid w:val="0880074B"/>
    <w:rsid w:val="0B9A518F"/>
    <w:rsid w:val="156A390E"/>
    <w:rsid w:val="18DD1665"/>
    <w:rsid w:val="1A464B10"/>
    <w:rsid w:val="256F5576"/>
    <w:rsid w:val="2BCFC80E"/>
    <w:rsid w:val="3F8B1E08"/>
    <w:rsid w:val="5BBF2602"/>
    <w:rsid w:val="61380C1D"/>
    <w:rsid w:val="719552AA"/>
    <w:rsid w:val="7757029A"/>
    <w:rsid w:val="F7BC2098"/>
    <w:rsid w:val="F9FDB596"/>
    <w:rsid w:val="FDDF01D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officialmode val="1"/>
    </mc:Choice>
  </mc:AlternateContent>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qFormat="1" w:uiPriority="99" w:semiHidden="0" w:name="List 2"/>
    <w:lsdException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26" w:lineRule="auto"/>
    </w:pPr>
    <w:rPr>
      <w:rFonts w:ascii="宋体" w:hAnsi="宋体" w:eastAsia="宋体" w:cstheme="minorBidi"/>
      <w:sz w:val="24"/>
      <w:szCs w:val="22"/>
      <w:lang w:val="en-US" w:eastAsia="en-US" w:bidi="ar-SA"/>
    </w:rPr>
  </w:style>
  <w:style w:type="paragraph" w:styleId="3">
    <w:name w:val="heading 1"/>
    <w:next w:val="1"/>
    <w:qFormat/>
    <w:uiPriority w:val="9"/>
    <w:pPr>
      <w:keepNext/>
      <w:keepLines/>
      <w:spacing w:beforeLines="0" w:beforeAutospacing="0" w:afterLines="0" w:afterAutospacing="0" w:line="560" w:lineRule="exact"/>
      <w:ind w:firstLine="894" w:firstLineChars="200"/>
      <w:outlineLvl w:val="0"/>
    </w:pPr>
    <w:rPr>
      <w:rFonts w:ascii="黑体" w:hAnsi="黑体" w:eastAsia="黑体" w:cs="黑体"/>
      <w:kern w:val="44"/>
      <w:sz w:val="32"/>
      <w:szCs w:val="32"/>
    </w:rPr>
  </w:style>
  <w:style w:type="paragraph" w:styleId="4">
    <w:name w:val="heading 2"/>
    <w:next w:val="1"/>
    <w:unhideWhenUsed/>
    <w:qFormat/>
    <w:uiPriority w:val="9"/>
    <w:pPr>
      <w:keepNext/>
      <w:keepLines/>
      <w:spacing w:beforeLines="0" w:beforeAutospacing="0" w:afterLines="0" w:afterAutospacing="0" w:line="560" w:lineRule="exact"/>
      <w:ind w:firstLine="894" w:firstLineChars="200"/>
      <w:outlineLvl w:val="1"/>
    </w:pPr>
    <w:rPr>
      <w:rFonts w:ascii="Times New Roman" w:hAnsi="Times New Roman" w:eastAsia="楷体_GB2312" w:cs="楷体_GB2312"/>
      <w:sz w:val="32"/>
      <w:szCs w:val="32"/>
    </w:rPr>
  </w:style>
  <w:style w:type="paragraph" w:styleId="5">
    <w:name w:val="heading 3"/>
    <w:next w:val="1"/>
    <w:link w:val="166"/>
    <w:unhideWhenUsed/>
    <w:qFormat/>
    <w:uiPriority w:val="9"/>
    <w:pPr>
      <w:keepNext/>
      <w:keepLines/>
      <w:spacing w:beforeLines="0" w:beforeAutospacing="0" w:afterLines="0" w:afterAutospacing="0" w:line="560" w:lineRule="exact"/>
      <w:ind w:firstLine="894" w:firstLineChars="200"/>
      <w:outlineLvl w:val="2"/>
    </w:pPr>
    <w:rPr>
      <w:rFonts w:ascii="Times New Roman" w:hAnsi="Times New Roman" w:eastAsia="仿宋_GB2312" w:cs="仿宋_GB2312"/>
      <w:sz w:val="32"/>
      <w:szCs w:val="32"/>
    </w:rPr>
  </w:style>
  <w:style w:type="paragraph" w:styleId="6">
    <w:name w:val="heading 4"/>
    <w:next w:val="1"/>
    <w:semiHidden/>
    <w:unhideWhenUsed/>
    <w:qFormat/>
    <w:uiPriority w:val="9"/>
    <w:pPr>
      <w:keepNext/>
      <w:keepLines/>
      <w:spacing w:beforeLines="0" w:beforeAutospacing="0" w:afterLines="0" w:afterAutospacing="0" w:line="560" w:lineRule="exact"/>
      <w:ind w:firstLine="894" w:firstLineChars="200"/>
      <w:outlineLvl w:val="3"/>
    </w:pPr>
    <w:rPr>
      <w:rFonts w:ascii="Times New Roman" w:hAnsi="Times New Roman" w:eastAsia="仿宋_GB2312" w:cs="仿宋_GB2312"/>
      <w:sz w:val="32"/>
      <w:szCs w:val="32"/>
    </w:rPr>
  </w:style>
  <w:style w:type="paragraph" w:styleId="7">
    <w:name w:val="heading 5"/>
    <w:next w:val="1"/>
    <w:semiHidden/>
    <w:unhideWhenUsed/>
    <w:qFormat/>
    <w:uiPriority w:val="9"/>
    <w:pPr>
      <w:spacing w:line="560" w:lineRule="exact"/>
      <w:ind w:firstLine="894" w:firstLineChars="200"/>
      <w:outlineLvl w:val="4"/>
    </w:pPr>
    <w:rPr>
      <w:rFonts w:ascii="Times New Roman" w:hAnsi="Times New Roman" w:eastAsia="仿宋_GB2312" w:cs="仿宋_GB2312"/>
      <w:sz w:val="32"/>
      <w:szCs w:val="32"/>
    </w:rPr>
  </w:style>
  <w:style w:type="paragraph" w:styleId="8">
    <w:name w:val="heading 6"/>
    <w:next w:val="1"/>
    <w:semiHidden/>
    <w:unhideWhenUsed/>
    <w:qFormat/>
    <w:uiPriority w:val="9"/>
    <w:pPr>
      <w:spacing w:line="560" w:lineRule="exact"/>
      <w:ind w:firstLine="894" w:firstLineChars="200"/>
      <w:outlineLvl w:val="5"/>
    </w:pPr>
    <w:rPr>
      <w:rFonts w:ascii="Times New Roman" w:hAnsi="Times New Roman" w:eastAsia="仿宋_GB2312" w:cs="仿宋_GB2312"/>
      <w:sz w:val="32"/>
      <w:szCs w:val="32"/>
    </w:rPr>
  </w:style>
  <w:style w:type="paragraph" w:styleId="9">
    <w:name w:val="heading 7"/>
    <w:next w:val="1"/>
    <w:semiHidden/>
    <w:unhideWhenUsed/>
    <w:qFormat/>
    <w:uiPriority w:val="9"/>
    <w:pPr>
      <w:spacing w:line="560" w:lineRule="exact"/>
      <w:ind w:firstLine="894" w:firstLineChars="200"/>
      <w:outlineLvl w:val="6"/>
    </w:pPr>
    <w:rPr>
      <w:rFonts w:ascii="Times New Roman" w:hAnsi="Times New Roman" w:eastAsia="仿宋_GB2312" w:cs="仿宋_GB2312"/>
      <w:sz w:val="32"/>
      <w:szCs w:val="32"/>
    </w:rPr>
  </w:style>
  <w:style w:type="paragraph" w:styleId="10">
    <w:name w:val="heading 8"/>
    <w:next w:val="1"/>
    <w:semiHidden/>
    <w:unhideWhenUsed/>
    <w:qFormat/>
    <w:uiPriority w:val="9"/>
    <w:pPr>
      <w:spacing w:line="560" w:lineRule="exact"/>
      <w:ind w:firstLine="894" w:firstLineChars="200"/>
      <w:outlineLvl w:val="7"/>
    </w:pPr>
    <w:rPr>
      <w:rFonts w:ascii="Times New Roman" w:hAnsi="Times New Roman" w:eastAsia="仿宋_GB2312" w:cs="仿宋_GB2312"/>
      <w:sz w:val="32"/>
      <w:szCs w:val="32"/>
    </w:rPr>
  </w:style>
  <w:style w:type="paragraph" w:styleId="11">
    <w:name w:val="heading 9"/>
    <w:next w:val="1"/>
    <w:semiHidden/>
    <w:unhideWhenUsed/>
    <w:qFormat/>
    <w:uiPriority w:val="9"/>
    <w:pPr>
      <w:spacing w:line="560" w:lineRule="exact"/>
      <w:ind w:firstLine="894" w:firstLineChars="200"/>
      <w:outlineLvl w:val="8"/>
    </w:pPr>
    <w:rPr>
      <w:rFonts w:ascii="Times New Roman" w:hAnsi="Times New Roman" w:eastAsia="仿宋_GB2312" w:cs="仿宋_GB2312"/>
      <w:sz w:val="32"/>
      <w:szCs w:val="32"/>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link w:val="144"/>
    <w:unhideWhenUsed/>
    <w:uiPriority w:val="99"/>
    <w:pPr>
      <w:spacing w:line="560" w:lineRule="exact"/>
      <w:ind w:firstLine="630" w:firstLineChars="200"/>
      <w:jc w:val="both"/>
    </w:pPr>
    <w:rPr>
      <w:rFonts w:ascii="Times New Roman" w:hAnsi="Times New Roman" w:eastAsia="仿宋_GB2312" w:cs="仿宋_GB2312"/>
      <w:spacing w:val="-6"/>
      <w:sz w:val="32"/>
      <w:szCs w:val="32"/>
    </w:r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next w:val="1"/>
    <w:qFormat/>
    <w:uiPriority w:val="11"/>
    <w:pPr>
      <w:spacing w:beforeLines="0" w:beforeAutospacing="0" w:afterLines="0" w:afterAutospacing="0" w:line="720" w:lineRule="exact"/>
      <w:jc w:val="center"/>
      <w:outlineLvl w:val="9"/>
    </w:pPr>
    <w:rPr>
      <w:rFonts w:ascii="Times New Roman" w:hAnsi="Times New Roman" w:eastAsia="仿宋_GB2312" w:cs="仿宋_GB2312"/>
      <w:kern w:val="28"/>
      <w:sz w:val="32"/>
      <w:szCs w:val="32"/>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next w:val="1"/>
    <w:link w:val="141"/>
    <w:qFormat/>
    <w:uiPriority w:val="10"/>
    <w:pPr>
      <w:spacing w:line="720" w:lineRule="exact"/>
      <w:jc w:val="center"/>
      <w:outlineLvl w:val="9"/>
    </w:pPr>
    <w:rPr>
      <w:rFonts w:ascii="方正小标宋简体" w:hAnsi="方正小标宋简体" w:eastAsia="方正小标宋简体" w:cs="方正小标宋简体"/>
      <w:sz w:val="44"/>
      <w:szCs w:val="44"/>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link w:val="31"/>
    <w:qFormat/>
    <w:uiPriority w:val="10"/>
    <w:rPr>
      <w:rFonts w:ascii="宋体" w:hAnsi="宋体" w:eastAsia="宋体" w:cs="宋体"/>
      <w:sz w:val="44"/>
      <w:szCs w:val="44"/>
      <w:lang w:val="zh-CN"/>
    </w:rPr>
  </w:style>
  <w:style w:type="character" w:customStyle="1" w:styleId="142">
    <w:name w:val="Subtitle Char"/>
    <w:basedOn w:val="13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link w:val="19"/>
    <w:qFormat/>
    <w:uiPriority w:val="99"/>
    <w:rPr>
      <w:rFonts w:ascii="Times New Roman" w:hAnsi="Times New Roman" w:eastAsia="ＭＳ 明朝" w:cs="ＭＳ 明朝"/>
      <w:spacing w:val="-6"/>
      <w:sz w:val="32"/>
      <w:szCs w:val="32"/>
    </w:rPr>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主送对象"/>
    <w:next w:val="1"/>
    <w:qFormat/>
    <w:uiPriority w:val="0"/>
    <w:pPr>
      <w:spacing w:line="560" w:lineRule="exact"/>
    </w:pPr>
    <w:rPr>
      <w:rFonts w:asciiTheme="minorHAnsi" w:hAnsiTheme="minorHAnsi" w:eastAsiaTheme="minorEastAsia" w:cstheme="minorBidi"/>
    </w:rPr>
  </w:style>
  <w:style w:type="paragraph" w:customStyle="1" w:styleId="165">
    <w:name w:val="附录标题"/>
    <w:next w:val="1"/>
    <w:qFormat/>
    <w:uiPriority w:val="0"/>
    <w:pPr>
      <w:overflowPunct w:val="0"/>
      <w:topLinePunct/>
      <w:spacing w:line="560" w:lineRule="exact"/>
      <w:jc w:val="left"/>
      <w:outlineLvl w:val="0"/>
    </w:pPr>
    <w:rPr>
      <w:rFonts w:asciiTheme="minorHAnsi" w:hAnsiTheme="minorHAnsi" w:eastAsiaTheme="minorEastAsia" w:cstheme="minorBidi"/>
    </w:rPr>
  </w:style>
  <w:style w:type="character" w:customStyle="1" w:styleId="166">
    <w:name w:val="标题 3 Char"/>
    <w:link w:val="5"/>
    <w:qFormat/>
    <w:uiPriority w:val="9"/>
    <w:rPr>
      <w:rFonts w:ascii="Times New Roman" w:hAnsi="Times New Roman" w:eastAsia="仿宋_GB2312" w:cs="仿宋_GB2312"/>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6569</Words>
  <Characters>6902</Characters>
  <Lines>0</Lines>
  <Paragraphs>0</Paragraphs>
  <TotalTime>2</TotalTime>
  <ScaleCrop>false</ScaleCrop>
  <LinksUpToDate>false</LinksUpToDate>
  <CharactersWithSpaces>6968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2013-12-24T15:15:00Z</dcterms:created>
  <dc:creator>python-docx</dc:creator>
  <dc:description>generated by python-docx</dc:description>
  <cp:lastModifiedBy>华成先</cp:lastModifiedBy>
  <dcterms:modified xsi:type="dcterms:W3CDTF">2026-10-07T08:46:32Z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E221BD63072CB9D0F6E4A06AB5251AD7_42</vt:lpwstr>
  </property>
  <property fmtid="{D5CDD505-2E9C-101B-9397-08002B2CF9AE}" pid="4" name="KSOTemplateDocerSaveRecord">
    <vt:lpwstr>eyJoZGlkIjoiNjA2YjA1MjZjZTVhZDgwZjlkM2RhZjdmOGNiYWZlMGUiLCJ1c2VySWQiOiIyNTQ4MzkzNTMifQ==</vt:lpwstr>
  </property>
</Properties>
</file>