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CE03B8">
      <w:pPr>
        <w:keepNext w:val="0"/>
        <w:keepLines w:val="0"/>
        <w:pageBreakBefore w:val="0"/>
        <w:widowControl w:val="0"/>
        <w:kinsoku/>
        <w:wordWrap/>
        <w:overflowPunct/>
        <w:topLinePunct w:val="0"/>
        <w:autoSpaceDE/>
        <w:autoSpaceDN/>
        <w:bidi w:val="0"/>
        <w:adjustRightInd/>
        <w:snapToGrid/>
        <w:spacing w:before="211" w:beforeLines="50" w:after="50" w:line="600" w:lineRule="exact"/>
        <w:jc w:val="center"/>
        <w:textAlignment w:val="auto"/>
        <w:rPr>
          <w:rFonts w:hint="eastAsia" w:ascii="方正小标宋简体" w:hAnsi="方正小标宋简体" w:eastAsia="方正小标宋简体" w:cs="方正小标宋简体"/>
          <w:b/>
          <w:sz w:val="48"/>
          <w:szCs w:val="48"/>
          <w:lang w:val="en-US" w:eastAsia="zh-CN"/>
        </w:rPr>
      </w:pPr>
      <w:r>
        <w:rPr>
          <w:rFonts w:hint="eastAsia" w:ascii="方正小标宋简体" w:hAnsi="方正小标宋简体" w:eastAsia="方正小标宋简体" w:cs="方正小标宋简体"/>
          <w:b/>
          <w:sz w:val="48"/>
          <w:szCs w:val="48"/>
          <w:lang w:val="en-US" w:eastAsia="zh-CN"/>
        </w:rPr>
        <w:t>告 知 书</w:t>
      </w:r>
    </w:p>
    <w:p w14:paraId="5B4F664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right="0" w:rightChars="0"/>
        <w:jc w:val="right"/>
        <w:textAlignment w:val="auto"/>
        <w:outlineLvl w:val="9"/>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新莲花贸易破管字第149号</w:t>
      </w:r>
    </w:p>
    <w:p w14:paraId="1E1C380A">
      <w:pPr>
        <w:keepNext w:val="0"/>
        <w:keepLines w:val="0"/>
        <w:pageBreakBefore w:val="0"/>
        <w:widowControl w:val="0"/>
        <w:numPr>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福建新莲花贸易有限公司及其法定代表人、股东：</w:t>
      </w:r>
    </w:p>
    <w:p w14:paraId="6C182C3F">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2026年8月27日，龙岩市新罗区人民法院作出（2026）闽0802破申19号民事裁定书，裁定受理张宇对福建新莲花贸易有限公司（以下简称“新莲花公司”或“债务人”）的破产清算申请，并于2026年9月1日作出（2026）闽0802破56号决定书，指定福建省京闽清算服务有限公司龙岩分公司担任福建新莲花贸易有限公司管理人（以下简称“管理人”）。</w:t>
      </w:r>
    </w:p>
    <w:p w14:paraId="1C7C5E28">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截至2026年10月5日，共有58户债权人向管理人申报了67笔债权，申报总金额为 44,186,246.35 元。经审查，管理人全部确认及部分确认的债权为40户46笔，债权金额为17,167,286.41元。另外，管理人经审查后</w:t>
      </w:r>
      <w:r>
        <w:rPr>
          <w:rFonts w:hint="default" w:ascii="仿宋" w:hAnsi="仿宋" w:eastAsia="仿宋" w:cs="仿宋"/>
          <w:sz w:val="28"/>
          <w:szCs w:val="28"/>
          <w:highlight w:val="none"/>
          <w:lang w:val="en-US" w:eastAsia="zh-CN"/>
        </w:rPr>
        <w:t>不予确认</w:t>
      </w:r>
      <w:r>
        <w:rPr>
          <w:rFonts w:hint="eastAsia" w:ascii="仿宋" w:hAnsi="仿宋" w:eastAsia="仿宋" w:cs="仿宋"/>
          <w:sz w:val="28"/>
          <w:szCs w:val="28"/>
          <w:highlight w:val="none"/>
          <w:lang w:val="en-US" w:eastAsia="zh-CN"/>
        </w:rPr>
        <w:t>的债权共</w:t>
      </w:r>
      <w:r>
        <w:rPr>
          <w:rFonts w:hint="default" w:ascii="仿宋" w:hAnsi="仿宋" w:eastAsia="仿宋" w:cs="仿宋"/>
          <w:sz w:val="28"/>
          <w:szCs w:val="28"/>
          <w:highlight w:val="none"/>
          <w:lang w:val="en-US" w:eastAsia="zh-CN"/>
        </w:rPr>
        <w:t>4户6笔</w:t>
      </w:r>
      <w:r>
        <w:rPr>
          <w:rFonts w:hint="eastAsia" w:ascii="仿宋" w:hAnsi="仿宋" w:eastAsia="仿宋" w:cs="仿宋"/>
          <w:sz w:val="28"/>
          <w:szCs w:val="28"/>
          <w:highlight w:val="none"/>
          <w:lang w:val="en-US" w:eastAsia="zh-CN"/>
        </w:rPr>
        <w:t>，涉及债权申报金额为</w:t>
      </w:r>
      <w:r>
        <w:rPr>
          <w:rFonts w:hint="default" w:ascii="仿宋" w:hAnsi="仿宋" w:eastAsia="仿宋" w:cs="仿宋"/>
          <w:sz w:val="28"/>
          <w:szCs w:val="28"/>
          <w:highlight w:val="none"/>
          <w:lang w:val="en-US" w:eastAsia="zh-CN"/>
        </w:rPr>
        <w:t>4,112,755.88</w:t>
      </w:r>
      <w:r>
        <w:rPr>
          <w:rFonts w:hint="eastAsia" w:ascii="仿宋" w:hAnsi="仿宋" w:eastAsia="仿宋" w:cs="仿宋"/>
          <w:sz w:val="28"/>
          <w:szCs w:val="28"/>
          <w:highlight w:val="none"/>
          <w:lang w:val="en-US" w:eastAsia="zh-CN"/>
        </w:rPr>
        <w:t>元；因存在诉讼或需进一步核实等原因，管理人</w:t>
      </w:r>
      <w:r>
        <w:rPr>
          <w:rFonts w:hint="default" w:ascii="仿宋" w:hAnsi="仿宋" w:eastAsia="仿宋" w:cs="仿宋"/>
          <w:sz w:val="28"/>
          <w:szCs w:val="28"/>
          <w:highlight w:val="none"/>
          <w:lang w:val="en-US" w:eastAsia="zh-CN"/>
        </w:rPr>
        <w:t>暂缓审查15户15笔</w:t>
      </w:r>
      <w:r>
        <w:rPr>
          <w:rFonts w:hint="eastAsia" w:ascii="仿宋" w:hAnsi="仿宋" w:eastAsia="仿宋" w:cs="仿宋"/>
          <w:sz w:val="28"/>
          <w:szCs w:val="28"/>
          <w:highlight w:val="none"/>
          <w:lang w:val="en-US" w:eastAsia="zh-CN"/>
        </w:rPr>
        <w:t>债权，涉及债权申报金额为</w:t>
      </w:r>
      <w:r>
        <w:rPr>
          <w:rFonts w:hint="default" w:ascii="仿宋" w:hAnsi="仿宋" w:eastAsia="仿宋" w:cs="仿宋"/>
          <w:sz w:val="28"/>
          <w:szCs w:val="28"/>
          <w:highlight w:val="none"/>
          <w:lang w:val="en-US" w:eastAsia="zh-CN"/>
        </w:rPr>
        <w:t>15,816,180.45</w:t>
      </w:r>
      <w:r>
        <w:rPr>
          <w:rFonts w:hint="eastAsia" w:ascii="仿宋" w:hAnsi="仿宋" w:eastAsia="仿宋" w:cs="仿宋"/>
          <w:sz w:val="28"/>
          <w:szCs w:val="28"/>
          <w:highlight w:val="none"/>
          <w:lang w:val="en-US" w:eastAsia="zh-CN"/>
        </w:rPr>
        <w:t>元。</w:t>
      </w:r>
    </w:p>
    <w:p w14:paraId="180D5C75">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 w:hAnsi="仿宋" w:eastAsia="仿宋" w:cs="仿宋"/>
          <w:b w:val="0"/>
          <w:bCs/>
          <w:kern w:val="0"/>
          <w:sz w:val="28"/>
          <w:szCs w:val="28"/>
          <w:highlight w:val="none"/>
          <w:lang w:val="en-US" w:eastAsia="zh-CN"/>
        </w:rPr>
      </w:pPr>
      <w:r>
        <w:rPr>
          <w:rFonts w:hint="eastAsia" w:ascii="仿宋" w:hAnsi="仿宋" w:eastAsia="仿宋" w:cs="仿宋"/>
          <w:b w:val="0"/>
          <w:bCs/>
          <w:kern w:val="0"/>
          <w:sz w:val="28"/>
          <w:szCs w:val="28"/>
          <w:highlight w:val="none"/>
          <w:lang w:val="en-US" w:eastAsia="zh-CN"/>
        </w:rPr>
        <w:t>经管理人通知及债权人主动申报，截至2026年10月9日，共有7户职工债权人向管理人申报了10笔职工债权，债权申报金额为 424,749.17元。经审查，管理人初步确认5户5笔职工债权，债权金额为184,958.36元；不予确认3户4笔债权，所涉及的债权申报金额为175,217.3</w:t>
      </w:r>
      <w:r>
        <w:rPr>
          <w:rFonts w:hint="default" w:ascii="仿宋" w:hAnsi="仿宋" w:eastAsia="仿宋" w:cs="仿宋"/>
          <w:b w:val="0"/>
          <w:bCs/>
          <w:kern w:val="0"/>
          <w:sz w:val="28"/>
          <w:szCs w:val="28"/>
          <w:highlight w:val="none"/>
          <w:lang w:val="en-US" w:eastAsia="zh-CN"/>
        </w:rPr>
        <w:t>1</w:t>
      </w:r>
      <w:r>
        <w:rPr>
          <w:rFonts w:hint="eastAsia" w:ascii="仿宋" w:hAnsi="仿宋" w:eastAsia="仿宋" w:cs="仿宋"/>
          <w:b w:val="0"/>
          <w:bCs/>
          <w:kern w:val="0"/>
          <w:sz w:val="28"/>
          <w:szCs w:val="28"/>
          <w:highlight w:val="none"/>
          <w:lang w:val="en-US" w:eastAsia="zh-CN"/>
        </w:rPr>
        <w:t>元；暂缓审查</w:t>
      </w:r>
      <w:r>
        <w:rPr>
          <w:rFonts w:hint="default" w:ascii="仿宋" w:hAnsi="仿宋" w:eastAsia="仿宋" w:cs="仿宋"/>
          <w:b w:val="0"/>
          <w:bCs/>
          <w:kern w:val="0"/>
          <w:sz w:val="28"/>
          <w:szCs w:val="28"/>
          <w:highlight w:val="none"/>
          <w:lang w:val="en-US" w:eastAsia="zh-CN"/>
        </w:rPr>
        <w:t>1</w:t>
      </w:r>
      <w:r>
        <w:rPr>
          <w:rFonts w:hint="eastAsia" w:ascii="仿宋" w:hAnsi="仿宋" w:eastAsia="仿宋" w:cs="仿宋"/>
          <w:b w:val="0"/>
          <w:bCs/>
          <w:kern w:val="0"/>
          <w:sz w:val="28"/>
          <w:szCs w:val="28"/>
          <w:highlight w:val="none"/>
          <w:lang w:val="en-US" w:eastAsia="zh-CN"/>
        </w:rPr>
        <w:t>户</w:t>
      </w:r>
      <w:r>
        <w:rPr>
          <w:rFonts w:hint="default" w:ascii="仿宋" w:hAnsi="仿宋" w:eastAsia="仿宋" w:cs="仿宋"/>
          <w:b w:val="0"/>
          <w:bCs/>
          <w:kern w:val="0"/>
          <w:sz w:val="28"/>
          <w:szCs w:val="28"/>
          <w:highlight w:val="none"/>
          <w:lang w:val="en-US" w:eastAsia="zh-CN"/>
        </w:rPr>
        <w:t>1</w:t>
      </w:r>
      <w:r>
        <w:rPr>
          <w:rFonts w:hint="eastAsia" w:ascii="仿宋" w:hAnsi="仿宋" w:eastAsia="仿宋" w:cs="仿宋"/>
          <w:b w:val="0"/>
          <w:bCs/>
          <w:kern w:val="0"/>
          <w:sz w:val="28"/>
          <w:szCs w:val="28"/>
          <w:highlight w:val="none"/>
          <w:lang w:val="en-US" w:eastAsia="zh-CN"/>
        </w:rPr>
        <w:t>笔债权，所涉及的债权申报金额为64,390.34元。</w:t>
      </w:r>
    </w:p>
    <w:p w14:paraId="1BDCC30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管理人编制了《福建新莲花贸易有限公司职工债权表》《福建新莲花贸易有限公司债权表》并交第一次债权人会议核查。</w:t>
      </w:r>
    </w:p>
    <w:p w14:paraId="7119A835">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CN"/>
        </w:rPr>
        <w:t>根据《中华人民共和国企业破产法》第五十八条以及相关法律规定，债务人应当对管理人编制的《职工债权表》《债权表》进行核对，有异议的应当说明具体理由。故管理人正式告知你，请你务必于收到本《告知书》之日起7日内完成债权核对，并按要求填写《债务人债权核对表》并</w:t>
      </w:r>
      <w:r>
        <w:rPr>
          <w:rFonts w:hint="eastAsia" w:ascii="仿宋_GB2312" w:hAnsi="仿宋_GB2312" w:eastAsia="仿宋_GB2312" w:cs="仿宋_GB2312"/>
          <w:color w:val="auto"/>
          <w:sz w:val="28"/>
          <w:szCs w:val="28"/>
          <w:highlight w:val="none"/>
          <w:lang w:val="en-US" w:eastAsia="zh-Hans"/>
        </w:rPr>
        <w:t>签字确认后邮寄给管理人（管理人</w:t>
      </w:r>
      <w:r>
        <w:rPr>
          <w:rFonts w:hint="eastAsia" w:ascii="仿宋_GB2312" w:hAnsi="仿宋_GB2312" w:eastAsia="仿宋_GB2312" w:cs="仿宋_GB2312"/>
          <w:color w:val="auto"/>
          <w:sz w:val="28"/>
          <w:szCs w:val="28"/>
          <w:highlight w:val="none"/>
          <w:lang w:val="en-US" w:eastAsia="zh-CN"/>
        </w:rPr>
        <w:t>联系地址：福建省龙岩市新罗区西安南路156号莲花大厦402室福建省京闽清算服务有限公司龙岩分公司</w:t>
      </w:r>
      <w:r>
        <w:rPr>
          <w:rFonts w:hint="eastAsia" w:ascii="仿宋_GB2312" w:hAnsi="仿宋_GB2312" w:eastAsia="仿宋_GB2312" w:cs="仿宋_GB2312"/>
          <w:color w:val="auto"/>
          <w:sz w:val="28"/>
          <w:szCs w:val="28"/>
          <w:highlight w:val="none"/>
          <w:lang w:eastAsia="zh-CN"/>
        </w:rPr>
        <w:t>联系人：</w:t>
      </w:r>
      <w:r>
        <w:rPr>
          <w:rFonts w:hint="eastAsia" w:ascii="仿宋_GB2312" w:hAnsi="仿宋_GB2312" w:eastAsia="仿宋_GB2312" w:cs="仿宋_GB2312"/>
          <w:color w:val="auto"/>
          <w:sz w:val="28"/>
          <w:szCs w:val="28"/>
          <w:highlight w:val="none"/>
          <w:lang w:val="en-US" w:eastAsia="zh-CN"/>
        </w:rPr>
        <w:t>陈心柔；联系电话：18559709280</w:t>
      </w:r>
      <w:r>
        <w:rPr>
          <w:rFonts w:hint="eastAsia" w:ascii="仿宋_GB2312" w:hAnsi="仿宋_GB2312" w:eastAsia="仿宋_GB2312" w:cs="仿宋_GB2312"/>
          <w:color w:val="auto"/>
          <w:sz w:val="28"/>
          <w:szCs w:val="28"/>
          <w:highlight w:val="none"/>
          <w:lang w:val="en-US" w:eastAsia="zh-Hans"/>
        </w:rPr>
        <w:t>）；逾期未提交的，视为同意管理人的审查意见。</w:t>
      </w:r>
    </w:p>
    <w:p w14:paraId="5B41CC4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特此函告。</w:t>
      </w:r>
    </w:p>
    <w:p w14:paraId="45C241C1">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righ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福建新莲花贸易有限公司管理人</w:t>
      </w:r>
    </w:p>
    <w:p w14:paraId="549E3CF8">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right"/>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Hans"/>
        </w:rPr>
        <w:t>二〇</w:t>
      </w:r>
      <w:r>
        <w:rPr>
          <w:rFonts w:hint="eastAsia" w:ascii="仿宋_GB2312" w:hAnsi="仿宋_GB2312" w:eastAsia="仿宋_GB2312" w:cs="仿宋_GB2312"/>
          <w:color w:val="auto"/>
          <w:sz w:val="28"/>
          <w:szCs w:val="28"/>
          <w:highlight w:val="none"/>
          <w:lang w:val="en-US" w:eastAsia="zh-CN"/>
        </w:rPr>
        <w:t>二六</w:t>
      </w:r>
      <w:r>
        <w:rPr>
          <w:rFonts w:hint="eastAsia" w:ascii="仿宋_GB2312" w:hAnsi="仿宋_GB2312" w:eastAsia="仿宋_GB2312" w:cs="仿宋_GB2312"/>
          <w:color w:val="auto"/>
          <w:sz w:val="28"/>
          <w:szCs w:val="28"/>
          <w:highlight w:val="none"/>
          <w:lang w:val="en-US" w:eastAsia="zh-Hans"/>
        </w:rPr>
        <w:t>年</w:t>
      </w:r>
      <w:r>
        <w:rPr>
          <w:rFonts w:hint="eastAsia" w:ascii="仿宋_GB2312" w:hAnsi="仿宋_GB2312" w:eastAsia="仿宋_GB2312" w:cs="仿宋_GB2312"/>
          <w:color w:val="auto"/>
          <w:sz w:val="28"/>
          <w:szCs w:val="28"/>
          <w:highlight w:val="none"/>
          <w:lang w:val="en-US" w:eastAsia="zh-CN"/>
        </w:rPr>
        <w:t>十月十</w:t>
      </w:r>
      <w:r>
        <w:rPr>
          <w:rFonts w:hint="eastAsia" w:ascii="仿宋_GB2312" w:hAnsi="仿宋_GB2312" w:eastAsia="仿宋_GB2312" w:cs="仿宋_GB2312"/>
          <w:color w:val="auto"/>
          <w:sz w:val="28"/>
          <w:szCs w:val="28"/>
          <w:highlight w:val="none"/>
          <w:lang w:val="en-US" w:eastAsia="zh-Hans"/>
        </w:rPr>
        <w:t>日</w:t>
      </w:r>
    </w:p>
    <w:p w14:paraId="005DF692">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Hans"/>
        </w:rPr>
      </w:pPr>
      <w:r>
        <w:rPr>
          <w:rFonts w:hint="eastAsia" w:ascii="仿宋_GB2312" w:hAnsi="仿宋_GB2312" w:eastAsia="仿宋_GB2312" w:cs="仿宋_GB2312"/>
          <w:color w:val="auto"/>
          <w:sz w:val="28"/>
          <w:szCs w:val="28"/>
          <w:highlight w:val="none"/>
          <w:lang w:val="en-US" w:eastAsia="zh-Hans"/>
        </w:rPr>
        <w:t>附：</w:t>
      </w:r>
    </w:p>
    <w:p w14:paraId="1C771890">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Hans"/>
        </w:rPr>
        <w:t>《</w:t>
      </w:r>
      <w:r>
        <w:rPr>
          <w:rFonts w:hint="eastAsia" w:ascii="仿宋_GB2312" w:hAnsi="仿宋_GB2312" w:eastAsia="仿宋_GB2312" w:cs="仿宋_GB2312"/>
          <w:color w:val="auto"/>
          <w:sz w:val="28"/>
          <w:szCs w:val="28"/>
          <w:highlight w:val="none"/>
          <w:lang w:val="en-US" w:eastAsia="zh-CN"/>
        </w:rPr>
        <w:t>福建新莲花贸易有限公司职工</w:t>
      </w:r>
      <w:r>
        <w:rPr>
          <w:rFonts w:hint="eastAsia" w:ascii="仿宋_GB2312" w:hAnsi="仿宋_GB2312" w:eastAsia="仿宋_GB2312" w:cs="仿宋_GB2312"/>
          <w:color w:val="auto"/>
          <w:sz w:val="28"/>
          <w:szCs w:val="28"/>
          <w:highlight w:val="none"/>
          <w:lang w:val="en-US" w:eastAsia="zh-Hans"/>
        </w:rPr>
        <w:t>债权表》</w:t>
      </w:r>
      <w:r>
        <w:rPr>
          <w:rFonts w:hint="eastAsia" w:ascii="仿宋_GB2312" w:hAnsi="仿宋_GB2312" w:eastAsia="仿宋_GB2312" w:cs="仿宋_GB2312"/>
          <w:color w:val="auto"/>
          <w:sz w:val="28"/>
          <w:szCs w:val="28"/>
          <w:highlight w:val="none"/>
          <w:lang w:val="en-US" w:eastAsia="zh-CN"/>
        </w:rPr>
        <w:t>；</w:t>
      </w:r>
    </w:p>
    <w:p w14:paraId="5D6EA0F0">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Hans"/>
        </w:rPr>
        <w:t>《</w:t>
      </w:r>
      <w:r>
        <w:rPr>
          <w:rFonts w:hint="eastAsia" w:ascii="仿宋_GB2312" w:hAnsi="仿宋_GB2312" w:eastAsia="仿宋_GB2312" w:cs="仿宋_GB2312"/>
          <w:color w:val="auto"/>
          <w:sz w:val="28"/>
          <w:szCs w:val="28"/>
          <w:highlight w:val="none"/>
          <w:lang w:val="en-US" w:eastAsia="zh-CN"/>
        </w:rPr>
        <w:t>福建新莲花贸易有限公司</w:t>
      </w:r>
      <w:r>
        <w:rPr>
          <w:rFonts w:hint="eastAsia" w:ascii="仿宋_GB2312" w:hAnsi="仿宋_GB2312" w:eastAsia="仿宋_GB2312" w:cs="仿宋_GB2312"/>
          <w:color w:val="auto"/>
          <w:sz w:val="28"/>
          <w:szCs w:val="28"/>
          <w:highlight w:val="none"/>
          <w:lang w:val="en-US" w:eastAsia="zh-Hans"/>
        </w:rPr>
        <w:t>债权表》</w:t>
      </w:r>
      <w:r>
        <w:rPr>
          <w:rFonts w:hint="eastAsia" w:ascii="仿宋_GB2312" w:hAnsi="仿宋_GB2312" w:eastAsia="仿宋_GB2312" w:cs="仿宋_GB2312"/>
          <w:color w:val="auto"/>
          <w:sz w:val="28"/>
          <w:szCs w:val="28"/>
          <w:highlight w:val="none"/>
          <w:lang w:val="en-US" w:eastAsia="zh-CN"/>
        </w:rPr>
        <w:t>；</w:t>
      </w:r>
    </w:p>
    <w:p w14:paraId="790AFF8F">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en-US" w:eastAsia="zh-Hans"/>
        </w:rPr>
        <w:t>《债务人债权核对表》</w:t>
      </w:r>
      <w:r>
        <w:rPr>
          <w:rFonts w:hint="eastAsia" w:ascii="仿宋_GB2312" w:hAnsi="仿宋_GB2312" w:eastAsia="仿宋_GB2312" w:cs="仿宋_GB2312"/>
          <w:color w:val="auto"/>
          <w:sz w:val="28"/>
          <w:szCs w:val="28"/>
          <w:highlight w:val="none"/>
          <w:lang w:val="en-US" w:eastAsia="zh-CN"/>
        </w:rPr>
        <w:t>。</w:t>
      </w:r>
    </w:p>
    <w:p w14:paraId="0462B435">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354C84F2">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163716C4">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000000"/>
          <w:kern w:val="0"/>
          <w:sz w:val="40"/>
          <w:szCs w:val="40"/>
          <w:u w:val="none"/>
          <w:lang w:val="en-US" w:eastAsia="zh-CN" w:bidi="ar"/>
        </w:rPr>
      </w:pPr>
      <w:bookmarkStart w:id="0" w:name="_Toc541204754"/>
      <w:r>
        <w:rPr>
          <w:rFonts w:hint="eastAsia" w:ascii="黑体" w:hAnsi="黑体" w:eastAsia="黑体" w:cs="黑体"/>
          <w:b/>
          <w:i w:val="0"/>
          <w:color w:val="000000"/>
          <w:kern w:val="0"/>
          <w:sz w:val="40"/>
          <w:szCs w:val="40"/>
          <w:u w:val="none"/>
          <w:lang w:val="en-US" w:eastAsia="zh-CN" w:bidi="ar"/>
        </w:rPr>
        <w:t>福建新莲花贸易有限公司</w:t>
      </w:r>
      <w:bookmarkEnd w:id="0"/>
    </w:p>
    <w:p w14:paraId="22DA27B2">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000000"/>
          <w:kern w:val="0"/>
          <w:sz w:val="40"/>
          <w:szCs w:val="40"/>
          <w:u w:val="none"/>
          <w:lang w:val="en-US" w:eastAsia="zh-CN" w:bidi="ar"/>
        </w:rPr>
      </w:pPr>
      <w:bookmarkStart w:id="1" w:name="_Toc16332"/>
      <w:bookmarkStart w:id="2" w:name="_Toc1435055433"/>
      <w:r>
        <w:rPr>
          <w:rFonts w:hint="eastAsia" w:ascii="黑体" w:hAnsi="黑体" w:eastAsia="黑体" w:cs="黑体"/>
          <w:b/>
          <w:i w:val="0"/>
          <w:color w:val="000000"/>
          <w:kern w:val="0"/>
          <w:sz w:val="40"/>
          <w:szCs w:val="40"/>
          <w:u w:val="none"/>
          <w:lang w:val="en-US" w:eastAsia="zh-CN" w:bidi="ar"/>
        </w:rPr>
        <w:t>职工债权表</w:t>
      </w:r>
      <w:bookmarkEnd w:id="1"/>
      <w:bookmarkEnd w:id="2"/>
    </w:p>
    <w:p w14:paraId="7DDE515E">
      <w:pPr>
        <w:keepNext w:val="0"/>
        <w:keepLines w:val="0"/>
        <w:widowControl/>
        <w:numPr>
          <w:ilvl w:val="0"/>
          <w:numId w:val="0"/>
        </w:numPr>
        <w:suppressLineNumbers w:val="0"/>
        <w:jc w:val="center"/>
        <w:textAlignment w:val="center"/>
        <w:outlineLvl w:val="9"/>
        <w:rPr>
          <w:rFonts w:hint="eastAsia" w:ascii="仿宋" w:hAnsi="仿宋" w:eastAsia="仿宋" w:cs="仿宋"/>
          <w:b w:val="0"/>
          <w:bCs/>
          <w:i w:val="0"/>
          <w:color w:val="000000"/>
          <w:kern w:val="0"/>
          <w:sz w:val="24"/>
          <w:szCs w:val="24"/>
          <w:u w:val="none"/>
          <w:lang w:val="en-US" w:eastAsia="zh-CN" w:bidi="ar"/>
        </w:rPr>
      </w:pPr>
      <w:r>
        <w:rPr>
          <w:rFonts w:hint="eastAsia" w:ascii="仿宋" w:hAnsi="仿宋" w:eastAsia="仿宋" w:cs="仿宋"/>
          <w:b w:val="0"/>
          <w:bCs/>
          <w:i w:val="0"/>
          <w:color w:val="000000"/>
          <w:kern w:val="0"/>
          <w:sz w:val="24"/>
          <w:szCs w:val="24"/>
          <w:u w:val="none"/>
          <w:lang w:val="en-US" w:eastAsia="zh-CN" w:bidi="ar"/>
        </w:rPr>
        <w:t>（截止日期：2026年10月9日；单位：人民币元）</w:t>
      </w:r>
    </w:p>
    <w:tbl>
      <w:tblPr>
        <w:tblStyle w:val="7"/>
        <w:tblpPr w:leftFromText="180" w:rightFromText="180" w:vertAnchor="text" w:horzAnchor="page" w:tblpX="805" w:tblpY="613"/>
        <w:tblOverlap w:val="never"/>
        <w:tblW w:w="10309" w:type="dxa"/>
        <w:tblInd w:w="0" w:type="dxa"/>
        <w:tblLayout w:type="fixed"/>
        <w:tblCellMar>
          <w:top w:w="0" w:type="dxa"/>
          <w:left w:w="0" w:type="dxa"/>
          <w:bottom w:w="0" w:type="dxa"/>
          <w:right w:w="0" w:type="dxa"/>
        </w:tblCellMar>
      </w:tblPr>
      <w:tblGrid>
        <w:gridCol w:w="653"/>
        <w:gridCol w:w="1086"/>
        <w:gridCol w:w="1895"/>
        <w:gridCol w:w="1418"/>
        <w:gridCol w:w="1269"/>
        <w:gridCol w:w="3988"/>
      </w:tblGrid>
      <w:tr w14:paraId="015DC1F5">
        <w:trPr>
          <w:trHeight w:val="654" w:hRule="atLeast"/>
          <w:tblHeader/>
        </w:trPr>
        <w:tc>
          <w:tcPr>
            <w:tcW w:w="3634" w:type="dxa"/>
            <w:gridSpan w:val="3"/>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164C1AB9">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职工身份信息</w:t>
            </w:r>
          </w:p>
        </w:tc>
        <w:tc>
          <w:tcPr>
            <w:tcW w:w="141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7F08B058">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职工债权申报情况</w:t>
            </w:r>
          </w:p>
        </w:tc>
        <w:tc>
          <w:tcPr>
            <w:tcW w:w="5257" w:type="dxa"/>
            <w:gridSpan w:val="2"/>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6342C09">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职工债权确认情况</w:t>
            </w:r>
          </w:p>
        </w:tc>
      </w:tr>
      <w:tr w14:paraId="6F4C655B">
        <w:trPr>
          <w:trHeight w:val="654" w:hRule="atLeast"/>
          <w:tblHeader/>
        </w:trPr>
        <w:tc>
          <w:tcPr>
            <w:tcW w:w="653"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96EBD28">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编号</w:t>
            </w:r>
          </w:p>
        </w:tc>
        <w:tc>
          <w:tcPr>
            <w:tcW w:w="1086"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67F585B4">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债权人名称</w:t>
            </w:r>
          </w:p>
        </w:tc>
        <w:tc>
          <w:tcPr>
            <w:tcW w:w="1895"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5B3852D0">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身份证件号码</w:t>
            </w:r>
          </w:p>
        </w:tc>
        <w:tc>
          <w:tcPr>
            <w:tcW w:w="141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45A37750">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申报总额（元）</w:t>
            </w:r>
          </w:p>
        </w:tc>
        <w:tc>
          <w:tcPr>
            <w:tcW w:w="1269"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1C7EC803">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确认数额（元）</w:t>
            </w:r>
          </w:p>
        </w:tc>
        <w:tc>
          <w:tcPr>
            <w:tcW w:w="3988" w:type="dxa"/>
            <w:tcBorders>
              <w:top w:val="single" w:color="000000" w:sz="4" w:space="0"/>
              <w:left w:val="single" w:color="000000" w:sz="4" w:space="0"/>
              <w:bottom w:val="single" w:color="000000" w:sz="4" w:space="0"/>
              <w:right w:val="single" w:color="000000" w:sz="4" w:space="0"/>
            </w:tcBorders>
            <w:shd w:val="clear" w:color="auto" w:fill="7F7F7F"/>
            <w:tcMar>
              <w:top w:w="15" w:type="dxa"/>
              <w:left w:w="15" w:type="dxa"/>
              <w:right w:w="15" w:type="dxa"/>
            </w:tcMar>
            <w:vAlign w:val="center"/>
          </w:tcPr>
          <w:p w14:paraId="72D18E16">
            <w:pPr>
              <w:keepNext w:val="0"/>
              <w:keepLines w:val="0"/>
              <w:pageBreakBefore w:val="0"/>
              <w:widowControl/>
              <w:suppressLineNumbers w:val="0"/>
              <w:kinsoku/>
              <w:wordWrap/>
              <w:overflowPunct/>
              <w:topLinePunct w:val="0"/>
              <w:autoSpaceDN/>
              <w:bidi w:val="0"/>
              <w:adjustRightInd/>
              <w:jc w:val="center"/>
              <w:textAlignment w:val="center"/>
              <w:outlineLvl w:val="9"/>
              <w:rPr>
                <w:rFonts w:hint="default"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审查意见</w:t>
            </w:r>
          </w:p>
        </w:tc>
      </w:tr>
      <w:tr w14:paraId="6C181648">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F7D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D75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江一鸣</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C2F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350600****1017</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F6F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27,953.26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874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27,953.26</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B09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依据生效法律文书对职工债权予以确认</w:t>
            </w:r>
          </w:p>
        </w:tc>
      </w:tr>
      <w:tr w14:paraId="6AD4B77B">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093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职2-1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130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吴聪明</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103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350628****4530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1BC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35,010.64</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E75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35,010.64</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A1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依据生效法律文书对职工债权予以确认</w:t>
            </w:r>
          </w:p>
        </w:tc>
      </w:tr>
      <w:tr w14:paraId="5A374AF8">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F78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职2-2</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B8D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吴聪明</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0B6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350628****4530</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064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29,660.08</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3E9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656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不予确认。对职工就补缴医社保、住房公积金事宜所主张的债权不予确认</w:t>
            </w:r>
          </w:p>
        </w:tc>
      </w:tr>
      <w:tr w14:paraId="5EA1DF4B">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573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职3</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0FD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陈蒸玲</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10F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350802****6528</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AEB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40,479.62</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773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E83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不予确认。申报人提供的离职证明显示所有款项已一次性结清，故对该笔债权不予确认</w:t>
            </w:r>
          </w:p>
        </w:tc>
      </w:tr>
      <w:tr w14:paraId="11CEA889">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43C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职4</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977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A45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352601****051X</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740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64,390.34</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231A0">
            <w:pPr>
              <w:jc w:val="center"/>
              <w:rPr>
                <w:rFonts w:hint="eastAsia" w:ascii="宋体" w:hAnsi="宋体" w:eastAsia="宋体" w:cs="宋体"/>
                <w:i w:val="0"/>
                <w:iCs w:val="0"/>
                <w:color w:val="000000"/>
                <w:kern w:val="0"/>
                <w:sz w:val="22"/>
                <w:szCs w:val="22"/>
                <w:u w:val="none"/>
                <w:lang w:val="en-US" w:eastAsia="zh-CN" w:bidi="ar"/>
              </w:rPr>
            </w:pP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178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暂缓审查。申报人提供的资料待进一步补充核实</w:t>
            </w:r>
          </w:p>
        </w:tc>
      </w:tr>
      <w:tr w14:paraId="2F14A8DA">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6A6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职5-1</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C72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93B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350603****41542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C63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103,944.46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E92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103,761.30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381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核减税务局已申报的职工个人承担的债权数额后，依据生效法律文书对职工债权予以确认</w:t>
            </w:r>
          </w:p>
        </w:tc>
      </w:tr>
      <w:tr w14:paraId="05353477">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F7A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职5-2</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C09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102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C4B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40,671.33</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53A9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B8F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不予确认。因债务人尚未收到销售款，故对申报人申报的业务提成不予确认</w:t>
            </w:r>
          </w:p>
        </w:tc>
      </w:tr>
      <w:tr w14:paraId="2D8B4C44">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6DA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职5-3</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5ED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B9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350603****1542</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5F4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64,406.28</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229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BF2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不予确认。对职工就补缴住房公积金事宜所主张的债权不予确认</w:t>
            </w:r>
          </w:p>
        </w:tc>
      </w:tr>
      <w:tr w14:paraId="2B93570C">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046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职6</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AA3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龙岩市住房公积金管理中心</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07B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12350800490708318H</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A97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18,050.00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8E2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18,050.00</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9AC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对债务人欠缴的住房公积金予以确认</w:t>
            </w:r>
          </w:p>
        </w:tc>
      </w:tr>
      <w:tr w14:paraId="04404D12">
        <w:trPr>
          <w:trHeight w:val="90" w:hRule="atLeast"/>
        </w:trPr>
        <w:tc>
          <w:tcPr>
            <w:tcW w:w="6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B8B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职7</w:t>
            </w:r>
          </w:p>
        </w:tc>
        <w:tc>
          <w:tcPr>
            <w:tcW w:w="10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CE4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E7B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11350802MB190401X5</w:t>
            </w:r>
          </w:p>
        </w:tc>
        <w:tc>
          <w:tcPr>
            <w:tcW w:w="1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532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183.16</w:t>
            </w:r>
          </w:p>
        </w:tc>
        <w:tc>
          <w:tcPr>
            <w:tcW w:w="12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2F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183.16</w:t>
            </w:r>
          </w:p>
        </w:tc>
        <w:tc>
          <w:tcPr>
            <w:tcW w:w="39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55C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对债务人欠缴的医社保费用（个人部分）予以确认</w:t>
            </w:r>
          </w:p>
        </w:tc>
      </w:tr>
    </w:tbl>
    <w:p w14:paraId="59BAEACA">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2C538A1C">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6032D914">
      <w:pPr>
        <w:keepNext w:val="0"/>
        <w:keepLines w:val="0"/>
        <w:pageBreakBefore w:val="0"/>
        <w:widowControl w:val="0"/>
        <w:kinsoku/>
        <w:wordWrap/>
        <w:overflowPunct/>
        <w:topLinePunct w:val="0"/>
        <w:autoSpaceDE/>
        <w:autoSpaceDN/>
        <w:bidi w:val="0"/>
        <w:adjustRightInd/>
        <w:snapToGrid/>
        <w:spacing w:line="360" w:lineRule="auto"/>
        <w:ind w:right="0" w:rightChars="0" w:firstLine="560" w:firstLineChars="200"/>
        <w:jc w:val="both"/>
        <w:textAlignment w:val="auto"/>
        <w:outlineLvl w:val="9"/>
        <w:rPr>
          <w:rFonts w:hint="eastAsia" w:ascii="仿宋_GB2312" w:hAnsi="仿宋_GB2312" w:eastAsia="仿宋_GB2312" w:cs="仿宋_GB2312"/>
          <w:color w:val="auto"/>
          <w:sz w:val="28"/>
          <w:szCs w:val="28"/>
          <w:highlight w:val="none"/>
          <w:lang w:val="en-US" w:eastAsia="zh-CN"/>
        </w:rPr>
      </w:pPr>
    </w:p>
    <w:p w14:paraId="418D3818">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color w:val="auto"/>
          <w:sz w:val="28"/>
          <w:szCs w:val="28"/>
          <w:highlight w:val="none"/>
          <w:lang w:val="en-US" w:eastAsia="zh-CN"/>
        </w:rPr>
        <w:sectPr>
          <w:headerReference r:id="rId3" w:type="default"/>
          <w:pgSz w:w="11906" w:h="16838"/>
          <w:pgMar w:top="1440" w:right="1800" w:bottom="1440" w:left="1800" w:header="851" w:footer="992" w:gutter="0"/>
          <w:cols w:space="425" w:num="1"/>
          <w:docGrid w:type="lines" w:linePitch="312" w:charSpace="0"/>
        </w:sectPr>
      </w:pPr>
    </w:p>
    <w:p w14:paraId="6BF531C7">
      <w:pPr>
        <w:pStyle w:val="2"/>
        <w:spacing w:before="312" w:after="157" w:line="240" w:lineRule="auto"/>
        <w:rPr>
          <w:rFonts w:ascii="黑体" w:hAnsi="黑体" w:cs="黑体"/>
          <w:highlight w:val="none"/>
        </w:rPr>
      </w:pPr>
      <w:bookmarkStart w:id="3" w:name="_Toc587822974"/>
      <w:bookmarkStart w:id="4" w:name="_Toc1156999187"/>
      <w:bookmarkStart w:id="5" w:name="_Toc10695"/>
      <w:bookmarkStart w:id="6" w:name="_Toc24279"/>
      <w:bookmarkStart w:id="7" w:name="_Toc24495"/>
      <w:bookmarkStart w:id="8" w:name="_Toc25468"/>
      <w:bookmarkStart w:id="9" w:name="_Toc715"/>
      <w:bookmarkStart w:id="10" w:name="_Toc2666"/>
      <w:bookmarkStart w:id="11" w:name="_Toc24604"/>
      <w:bookmarkStart w:id="12" w:name="_Toc1775130135"/>
      <w:bookmarkStart w:id="13" w:name="_Toc25856"/>
      <w:bookmarkStart w:id="14" w:name="_Toc2132252992"/>
      <w:bookmarkStart w:id="15" w:name="_Toc20434"/>
      <w:bookmarkStart w:id="16" w:name="_Toc12953"/>
      <w:bookmarkStart w:id="17" w:name="_Toc651853479"/>
      <w:bookmarkStart w:id="18" w:name="_Toc9985"/>
      <w:bookmarkStart w:id="19" w:name="_Toc926"/>
      <w:bookmarkStart w:id="20" w:name="_Toc296335472"/>
      <w:bookmarkStart w:id="21" w:name="_Toc2058773496"/>
      <w:bookmarkStart w:id="22" w:name="_Toc24671"/>
      <w:bookmarkStart w:id="23" w:name="_Toc3258"/>
      <w:bookmarkStart w:id="24" w:name="_Toc747"/>
      <w:bookmarkStart w:id="25" w:name="_Toc31715"/>
      <w:bookmarkStart w:id="26" w:name="_Toc29881"/>
      <w:bookmarkStart w:id="27" w:name="_Toc24829"/>
      <w:bookmarkStart w:id="28" w:name="_Toc24195"/>
      <w:bookmarkStart w:id="29" w:name="_Toc15322"/>
      <w:bookmarkStart w:id="30" w:name="_Toc13259"/>
      <w:bookmarkStart w:id="31" w:name="_Toc1335088360"/>
      <w:r>
        <w:rPr>
          <w:rFonts w:hint="eastAsia"/>
          <w:highlight w:val="none"/>
          <w:lang w:eastAsia="zh-CN"/>
        </w:rPr>
        <w:t>福建新莲花贸易有限公司</w:t>
      </w:r>
      <w:r>
        <w:rPr>
          <w:rFonts w:hint="eastAsia"/>
          <w:highlight w:val="none"/>
        </w:rPr>
        <w:t>债权表</w:t>
      </w:r>
      <w:bookmarkEnd w:id="3"/>
    </w:p>
    <w:p w14:paraId="4A07C96D">
      <w:pPr>
        <w:keepNext w:val="0"/>
        <w:keepLines w:val="0"/>
        <w:widowControl/>
        <w:numPr>
          <w:ilvl w:val="0"/>
          <w:numId w:val="0"/>
        </w:numPr>
        <w:suppressLineNumbers w:val="0"/>
        <w:jc w:val="center"/>
        <w:textAlignment w:val="center"/>
        <w:outlineLvl w:val="9"/>
        <w:rPr>
          <w:rFonts w:hint="eastAsia" w:ascii="仿宋" w:hAnsi="仿宋" w:eastAsia="仿宋" w:cs="仿宋"/>
          <w:b w:val="0"/>
          <w:bCs/>
          <w:i w:val="0"/>
          <w:color w:val="auto"/>
          <w:kern w:val="0"/>
          <w:sz w:val="24"/>
          <w:szCs w:val="24"/>
          <w:highlight w:val="none"/>
          <w:u w:val="none"/>
          <w:lang w:val="en-US" w:eastAsia="zh-CN" w:bidi="ar"/>
        </w:rPr>
      </w:pPr>
      <w:r>
        <w:rPr>
          <w:rFonts w:hint="eastAsia" w:ascii="仿宋" w:hAnsi="仿宋" w:eastAsia="仿宋" w:cs="仿宋"/>
          <w:b w:val="0"/>
          <w:bCs/>
          <w:i w:val="0"/>
          <w:color w:val="auto"/>
          <w:kern w:val="0"/>
          <w:sz w:val="24"/>
          <w:szCs w:val="24"/>
          <w:highlight w:val="none"/>
          <w:u w:val="none"/>
          <w:lang w:val="en-US" w:eastAsia="zh-CN" w:bidi="ar"/>
        </w:rPr>
        <w:t>（截止日期：2026年10月5日；单位：人民币元）</w:t>
      </w:r>
    </w:p>
    <w:tbl>
      <w:tblPr>
        <w:tblStyle w:val="7"/>
        <w:tblW w:w="15213" w:type="dxa"/>
        <w:jc w:val="center"/>
        <w:tblLayout w:type="fixed"/>
        <w:tblCellMar>
          <w:top w:w="0" w:type="dxa"/>
          <w:left w:w="0" w:type="dxa"/>
          <w:bottom w:w="0" w:type="dxa"/>
          <w:right w:w="0" w:type="dxa"/>
        </w:tblCellMar>
      </w:tblPr>
      <w:tblGrid>
        <w:gridCol w:w="548"/>
        <w:gridCol w:w="1252"/>
        <w:gridCol w:w="1555"/>
        <w:gridCol w:w="1155"/>
        <w:gridCol w:w="976"/>
        <w:gridCol w:w="1343"/>
        <w:gridCol w:w="1260"/>
        <w:gridCol w:w="996"/>
        <w:gridCol w:w="825"/>
        <w:gridCol w:w="1723"/>
        <w:gridCol w:w="717"/>
        <w:gridCol w:w="595"/>
        <w:gridCol w:w="2268"/>
      </w:tblGrid>
      <w:tr w14:paraId="3B0B4D8E">
        <w:trPr>
          <w:trHeight w:val="560" w:hRule="atLeast"/>
          <w:tblHeader/>
          <w:jc w:val="center"/>
        </w:trPr>
        <w:tc>
          <w:tcPr>
            <w:tcW w:w="1800" w:type="dxa"/>
            <w:gridSpan w:val="2"/>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751FC17">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债权人信息</w:t>
            </w:r>
          </w:p>
        </w:tc>
        <w:tc>
          <w:tcPr>
            <w:tcW w:w="5029" w:type="dxa"/>
            <w:gridSpan w:val="4"/>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18D3D4A">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申报情况</w:t>
            </w:r>
          </w:p>
        </w:tc>
        <w:tc>
          <w:tcPr>
            <w:tcW w:w="6116" w:type="dxa"/>
            <w:gridSpan w:val="6"/>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1A51C73">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审查情况</w:t>
            </w:r>
          </w:p>
        </w:tc>
        <w:tc>
          <w:tcPr>
            <w:tcW w:w="2268" w:type="dxa"/>
            <w:vMerge w:val="restart"/>
            <w:tcBorders>
              <w:top w:val="single" w:color="000000" w:sz="4" w:space="0"/>
              <w:left w:val="single" w:color="000000" w:sz="4" w:space="0"/>
              <w:right w:val="single" w:color="000000" w:sz="4" w:space="0"/>
            </w:tcBorders>
            <w:shd w:val="clear" w:color="auto" w:fill="7F7F7F"/>
            <w:noWrap w:val="0"/>
            <w:tcMar>
              <w:top w:w="15" w:type="dxa"/>
              <w:left w:w="15" w:type="dxa"/>
              <w:right w:w="15" w:type="dxa"/>
            </w:tcMar>
            <w:vAlign w:val="center"/>
          </w:tcPr>
          <w:p w14:paraId="0473650D">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r>
              <w:rPr>
                <w:rFonts w:hint="eastAsia" w:ascii="仿宋" w:hAnsi="仿宋" w:eastAsia="仿宋" w:cs="仿宋"/>
                <w:b/>
                <w:i w:val="0"/>
                <w:color w:val="auto"/>
                <w:kern w:val="0"/>
                <w:sz w:val="21"/>
                <w:szCs w:val="21"/>
                <w:highlight w:val="none"/>
                <w:u w:val="none"/>
                <w:lang w:val="en-US" w:eastAsia="zh-CN" w:bidi="ar"/>
              </w:rPr>
              <w:t>备注</w:t>
            </w:r>
          </w:p>
        </w:tc>
      </w:tr>
      <w:tr w14:paraId="628B1A8C">
        <w:trPr>
          <w:trHeight w:val="654" w:hRule="atLeast"/>
          <w:tblHeader/>
          <w:jc w:val="center"/>
        </w:trPr>
        <w:tc>
          <w:tcPr>
            <w:tcW w:w="548"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F1F52DF">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编号</w:t>
            </w:r>
          </w:p>
        </w:tc>
        <w:tc>
          <w:tcPr>
            <w:tcW w:w="1252"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3BCA73D">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申报人名称</w:t>
            </w:r>
          </w:p>
        </w:tc>
        <w:tc>
          <w:tcPr>
            <w:tcW w:w="155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19F2BC9">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115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2D8D3F91">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976"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0917696E">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343"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515D92B7">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总额</w:t>
            </w:r>
          </w:p>
        </w:tc>
        <w:tc>
          <w:tcPr>
            <w:tcW w:w="1260"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1FB8BC2E">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本金</w:t>
            </w:r>
          </w:p>
        </w:tc>
        <w:tc>
          <w:tcPr>
            <w:tcW w:w="996"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5068CF0">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利息</w:t>
            </w:r>
          </w:p>
        </w:tc>
        <w:tc>
          <w:tcPr>
            <w:tcW w:w="82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6CCFAB0B">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其他</w:t>
            </w:r>
          </w:p>
        </w:tc>
        <w:tc>
          <w:tcPr>
            <w:tcW w:w="1723"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4255724D">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审定债权</w:t>
            </w:r>
          </w:p>
        </w:tc>
        <w:tc>
          <w:tcPr>
            <w:tcW w:w="717"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B9FA296">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审查意见</w:t>
            </w:r>
          </w:p>
        </w:tc>
        <w:tc>
          <w:tcPr>
            <w:tcW w:w="595" w:type="dxa"/>
            <w:tcBorders>
              <w:top w:val="single" w:color="000000" w:sz="4" w:space="0"/>
              <w:left w:val="single" w:color="000000" w:sz="4" w:space="0"/>
              <w:bottom w:val="single" w:color="000000" w:sz="4" w:space="0"/>
              <w:right w:val="single" w:color="000000" w:sz="4" w:space="0"/>
            </w:tcBorders>
            <w:shd w:val="clear" w:color="auto" w:fill="7F7F7F"/>
            <w:noWrap w:val="0"/>
            <w:tcMar>
              <w:top w:w="15" w:type="dxa"/>
              <w:left w:w="15" w:type="dxa"/>
              <w:right w:w="15" w:type="dxa"/>
            </w:tcMar>
            <w:vAlign w:val="center"/>
          </w:tcPr>
          <w:p w14:paraId="3B4D678E">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sz w:val="21"/>
                <w:szCs w:val="21"/>
                <w:highlight w:val="none"/>
                <w:u w:val="none"/>
              </w:rPr>
            </w:pPr>
            <w:r>
              <w:rPr>
                <w:rFonts w:hint="eastAsia" w:ascii="仿宋" w:hAnsi="仿宋" w:eastAsia="仿宋" w:cs="仿宋"/>
                <w:b/>
                <w:i w:val="0"/>
                <w:color w:val="auto"/>
                <w:kern w:val="0"/>
                <w:sz w:val="21"/>
                <w:szCs w:val="21"/>
                <w:highlight w:val="none"/>
                <w:u w:val="none"/>
                <w:lang w:val="en-US" w:eastAsia="zh-CN" w:bidi="ar"/>
              </w:rPr>
              <w:t>债权性质</w:t>
            </w:r>
          </w:p>
        </w:tc>
        <w:tc>
          <w:tcPr>
            <w:tcW w:w="2268" w:type="dxa"/>
            <w:vMerge w:val="continue"/>
            <w:tcBorders>
              <w:left w:val="single" w:color="000000" w:sz="4" w:space="0"/>
              <w:bottom w:val="single" w:color="000000" w:sz="4" w:space="0"/>
              <w:right w:val="single" w:color="000000" w:sz="4" w:space="0"/>
            </w:tcBorders>
            <w:shd w:val="clear" w:color="auto" w:fill="E7E6E6"/>
            <w:noWrap w:val="0"/>
            <w:tcMar>
              <w:top w:w="15" w:type="dxa"/>
              <w:left w:w="15" w:type="dxa"/>
              <w:right w:w="15" w:type="dxa"/>
            </w:tcMar>
            <w:vAlign w:val="center"/>
          </w:tcPr>
          <w:p w14:paraId="79B67A9F">
            <w:pPr>
              <w:keepNext w:val="0"/>
              <w:keepLines w:val="0"/>
              <w:pageBreakBefore w:val="0"/>
              <w:widowControl/>
              <w:suppressLineNumbers w:val="0"/>
              <w:kinsoku/>
              <w:wordWrap/>
              <w:overflowPunct/>
              <w:topLinePunct w:val="0"/>
              <w:autoSpaceDN/>
              <w:bidi w:val="0"/>
              <w:adjustRightInd/>
              <w:jc w:val="center"/>
              <w:textAlignment w:val="center"/>
              <w:outlineLvl w:val="9"/>
              <w:rPr>
                <w:rFonts w:hint="eastAsia" w:ascii="仿宋" w:hAnsi="仿宋" w:eastAsia="仿宋" w:cs="仿宋"/>
                <w:b/>
                <w:i w:val="0"/>
                <w:color w:val="auto"/>
                <w:kern w:val="0"/>
                <w:sz w:val="21"/>
                <w:szCs w:val="21"/>
                <w:highlight w:val="none"/>
                <w:u w:val="none"/>
                <w:lang w:val="en-US" w:eastAsia="zh-CN" w:bidi="ar"/>
              </w:rPr>
            </w:pPr>
          </w:p>
        </w:tc>
      </w:tr>
      <w:tr w14:paraId="6F5C0C26">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7396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770C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龙岩新罗区永兴小额贷款股份有限公司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C57A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626B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106,333.33</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86B6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6A976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656,333.33</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289BF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3CAE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106,333.33</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D60E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8C3C4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656,333.33</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6E41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5635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9ACD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34F4F8ED">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5B33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51EC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龙岩新罗区永兴小额贷款股份有限公司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BD046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6B11F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3,657.50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B07A1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5BF0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3,657.50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76698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1CA5B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3,657.50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5663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3FCE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3,657.50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FB7EE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1C8B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惩罚性债权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2666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依据生效法律文书对迟延履行期间的加倍债务利息予以确认</w:t>
            </w:r>
          </w:p>
        </w:tc>
      </w:tr>
      <w:tr w14:paraId="217FB579">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3CC3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1039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龙岩市龙盛融资担保有限责任公司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8ACC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1,047,366.66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DC93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25,136.80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57AA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86AB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1,074,503.46</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2FC87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1,047,366.66</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421CC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25,136.80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75F5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902C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1,074,503.46</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8717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2E4E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4A49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依据委托保证合同、代偿证明及银行回单等资料对债权予以确认</w:t>
            </w:r>
          </w:p>
        </w:tc>
      </w:tr>
      <w:tr w14:paraId="2CA85184">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9D97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E035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陈淑仙</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F624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2158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3696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AE21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2955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2E913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8B5C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48CA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E070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52598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A18E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w:t>
            </w:r>
          </w:p>
        </w:tc>
      </w:tr>
      <w:tr w14:paraId="0F30380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1732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507E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陈香艳</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33F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8,870,000.00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5396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6D30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2CE7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8,870,000.00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B687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2,903,000.00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6572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EFEF7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E960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2,903,000.00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76B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B4765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BEC3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依据借据、银行流水等资料抵减已清偿款项后对债权予以确认</w:t>
            </w:r>
          </w:p>
        </w:tc>
      </w:tr>
      <w:tr w14:paraId="00DA6BB2">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9A56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D5E4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邓静</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0819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4B29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AE0F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F6EA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60C9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51E6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F060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72543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9788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087D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CBF5B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0E043EB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B2271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5E5BB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邓英</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E731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BE7A8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0E66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9EA9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2B584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158,300.00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1EC8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5D6A7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EDE1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158,300.00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6E97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0BFCD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48D2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17BBD6C9">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9250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5A76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洪志雄</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F8E5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A8A1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BDC66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701A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123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3E62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0EFF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ADF2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2590E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F1F0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84BA9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依据借据、银行流水等资料核减利息后对债权予以确认</w:t>
            </w:r>
          </w:p>
        </w:tc>
      </w:tr>
      <w:tr w14:paraId="6C035A2B">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9533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92C83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黄水河</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46B1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BDCC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36,000.00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B1ED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2032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436,000.00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11AA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AEE3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729A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217E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4BD3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4966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7419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依据借据、银行流水等资料核减利息后对债权予以确认</w:t>
            </w:r>
          </w:p>
        </w:tc>
      </w:tr>
      <w:tr w14:paraId="12C59D4F">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DFF7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BD9B8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林冰</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153D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D17C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11,270.00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2145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B63E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81,270.00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EDA3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C460E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11,270.00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CF34E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2229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81,270.00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FA910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6BA6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400F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w:t>
            </w:r>
          </w:p>
        </w:tc>
      </w:tr>
      <w:tr w14:paraId="386D5CA4">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5FEF7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25C8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林春安</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52E92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FFE0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45499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B69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EFC8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E316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4C8D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79AE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06CBC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0179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DB3E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1AB8CB9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B087E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1184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林妙珍</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3ED1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29,700.00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2E9F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718C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36B3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29,700.00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4153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29,700.00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9462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59A57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72CD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29,700.00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C575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F1FB9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2A4B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208F065F">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90F4C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ED3C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涂庆宇</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FAE0F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1,426,000.00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6F4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6BC9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5D84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1,426,000.00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772C06">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7F2FF3">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7F5B93">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520C8C7">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3D44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633CA3">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DC2F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申报人提供的资料需经进一步核实</w:t>
            </w:r>
          </w:p>
        </w:tc>
      </w:tr>
      <w:tr w14:paraId="7E3D9992">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D21F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4289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武平县人民法院</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58548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2,611.80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4CAE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DFB7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5E5B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2,611.80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01E4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2,611.80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C8B7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42AA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86A73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2,611.80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19EA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06D4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62E9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对债务人尚欠的诉讼费、执行费予以确认</w:t>
            </w:r>
          </w:p>
        </w:tc>
      </w:tr>
      <w:tr w14:paraId="45697476">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ABD8E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B499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谢雨林</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9395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7797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01D2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2C5B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5D629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4ACB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0E071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DC56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59,400.00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9423E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8785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3633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7EA2433E">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70B00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F213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杨幼桂</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564C6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7A6C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418.38</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BB39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07A7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418.38</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70DC6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07BE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236.47</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51B1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609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236.47</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95EF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87E23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惩罚性债权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39EDB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依据生效法律文书对迟延履行期间的加倍债务利息予以确认</w:t>
            </w:r>
          </w:p>
        </w:tc>
      </w:tr>
      <w:tr w14:paraId="5439BF68">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E4E5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CFC07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陈金冬</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0027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C8C7B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27,000.00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1D2E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8E91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1,027,000.00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36BE583">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CE7F13C">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12A6B3">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413889">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83690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D41AD2">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229AF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申报人提供的资料需经进一步核实</w:t>
            </w:r>
          </w:p>
        </w:tc>
      </w:tr>
      <w:tr w14:paraId="7177948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C79A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8757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漳州市芗城区人民法院</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4AC3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5,652.25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8ADE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2442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ED28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5,652.25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13B27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5,652.25</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F71A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5CD4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83BC1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5,652.25</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A0A9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2250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B094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对债务人尚欠的诉讼费、执行费予以确认</w:t>
            </w:r>
          </w:p>
        </w:tc>
      </w:tr>
      <w:tr w14:paraId="1FD43BB1">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4008A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EB03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05C1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5EDF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9E37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9BBF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55E7DA">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32D8F4">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48822A">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C50CFA3">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50F7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A02BC8">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F8A1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申报人尚未能提供债权审查所必要的证据，故对该笔债权暂缓审查</w:t>
            </w:r>
          </w:p>
        </w:tc>
      </w:tr>
      <w:tr w14:paraId="1BF8A84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B67D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839A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5905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A7B7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29,067.30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55B5B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6,171.94</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8DAD8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1,535,239.24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CCE7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343CE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CB545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EBD12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F1C2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E364A39">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C740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申报人尚未实际履行担保义务，故对该笔债权不予确认</w:t>
            </w:r>
          </w:p>
        </w:tc>
      </w:tr>
      <w:tr w14:paraId="4D38B5C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5D97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23D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9B30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0B79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22,388.89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83046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275.92</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A73E2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1,022,664.81</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ED75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0F0E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98EE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6248F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CD2F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75DFAE0">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D47F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申报人尚未实际履行担保义务，故对该笔债权不予确认</w:t>
            </w:r>
          </w:p>
        </w:tc>
      </w:tr>
      <w:tr w14:paraId="68FBB25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2CB54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7F3A0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张建军</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B66E7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89C4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109,990.83</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A73D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4,861.00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D31D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664,851.83</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20C9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9DAB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33F5E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9FE3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4613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FA0D765">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E278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申报人尚未实际履行担保义务，故对该笔债权不予确认</w:t>
            </w:r>
          </w:p>
        </w:tc>
      </w:tr>
      <w:tr w14:paraId="39EDD308">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7483A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5AEE8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张笑红</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C0A9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A8E7A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5ADF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EB12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C850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49EA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E4D1F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95D5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1C28F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FDFCF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00A72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461DB208">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D51D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EEC9A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张志坚</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A56B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F254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597AF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33D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73,200.00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C893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16673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5,980.00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15D3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8C92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65,980.00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E266A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C672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38D9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w:t>
            </w:r>
          </w:p>
        </w:tc>
      </w:tr>
      <w:tr w14:paraId="3B68F6DC">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AA94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29CA0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张志敏</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A1C0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2307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9F32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973B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8683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C337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EDD44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77787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22BE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A154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14DCC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w:t>
            </w:r>
          </w:p>
        </w:tc>
      </w:tr>
      <w:tr w14:paraId="0BF244AD">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0844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5100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中国银行股份有限公司龙岩分行</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E37D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3706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29,067.30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7C88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6,171.94</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F471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1,535,239.24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3851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70E9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29,301.11</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F9F2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7C333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1,529,301.11</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6866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2239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8331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依据流动资金借款合同、借款借据等资料对债权予以确认</w:t>
            </w:r>
          </w:p>
        </w:tc>
      </w:tr>
      <w:tr w14:paraId="5282DA16">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87C6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96E5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福建孚润生泰供应链管理有限公司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A471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424E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4929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D44B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B6B4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77EC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B854E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1946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3A7A0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31EE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763DC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依据销售明细表、借条等对债权予以确认</w:t>
            </w:r>
          </w:p>
        </w:tc>
      </w:tr>
      <w:tr w14:paraId="70503C7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0A13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A30ED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厦门银行股份有限公司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B47A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75A51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11,083.34</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BC74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2,887.60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B9470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513,970.94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BB19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681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11,083.34</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B031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2,887.60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89E5D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513,970.94</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5481E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B307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F5E9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依据执行证书予以确认</w:t>
            </w:r>
          </w:p>
        </w:tc>
      </w:tr>
      <w:tr w14:paraId="1CC4B31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30311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76270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曾秀霞</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9CD3E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BF79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89,293.90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15B8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15F9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469,293.90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F1901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9E61F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16,973.33</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CE0B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9230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396,973.33</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4B1A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0C746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37BC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551D9F6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8C3D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C7A9E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曾益元</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D0920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4192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DB97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CE29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92972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0C28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4E8AE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4458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981D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F23A2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EB3B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6EC948F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4ED1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82EA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陈月琴</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1592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B304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6251D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04E30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6382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FDA5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9B7D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C352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D7B92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303F57">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F912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申报人未能提供支付借款的付款流水，故对该笔债权不予确认</w:t>
            </w:r>
          </w:p>
        </w:tc>
      </w:tr>
      <w:tr w14:paraId="53CB01B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F405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57ED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郭泉龙</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127CA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261,560.00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F5F4D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4F24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732B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274,560.00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5E73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261,560.00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4B17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13,000.00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0C02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2D76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274,560.00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244D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783F6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4661E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05C15D2A">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FEF2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63242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郭泉龙</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F239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0AB6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00D9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549A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64E2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BA8C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1,443.75</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5C5F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9862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1,443.75</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7C939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8907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惩罚性债权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BD874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依据生效法律文书对迟延履行期间的加倍债务利息予以确认</w:t>
            </w:r>
          </w:p>
        </w:tc>
      </w:tr>
      <w:tr w14:paraId="6B5EE04A">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CB88B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DAC2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黄笑容</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55F1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1,167,000.00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4C7E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58,350.00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38EE8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F1E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1,225,350.00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7EF6C8">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DA753D0">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7339036">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0614C9">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A918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F86C8F0">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6E2F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4F95A048">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A7F3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767E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赖宇晖</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2EAFC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589,692.29</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49E1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ABEC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8D4C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589,692.29</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8BAF1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589,692.29</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95DC6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D3E1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F8CE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589,692.29</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F98E5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3E2E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C583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4C9C6DC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7515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22339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吕丽玲</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BEC1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B84FE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E31C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2B8EC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A9D81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5AAB0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C068A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1F41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2A5B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FC25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69DEC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w:t>
            </w:r>
          </w:p>
        </w:tc>
      </w:tr>
      <w:tr w14:paraId="5778EFEE">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6EA28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C987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邱秋娘</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796C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4EBB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149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9DE4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D12F8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DA6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6289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207F57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D2833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A4D409">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B3FFC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因出借人与银行流水显示的款项支付人不一致，故对该笔债权不予确认</w:t>
            </w:r>
          </w:p>
        </w:tc>
      </w:tr>
      <w:tr w14:paraId="09D0E866">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3CBA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6CBE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王燕芳</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956E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2EA1F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2A1F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C1C4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085CC98">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984F0E9">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4F1435">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A23F19">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BC61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605FDB">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60C2E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申报人提供的资料需经进一步核实</w:t>
            </w:r>
          </w:p>
        </w:tc>
      </w:tr>
      <w:tr w14:paraId="1DD2D85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DC66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EC70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C62E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395,662.14</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BE811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F958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9233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395,662.14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16356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395,662.14</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6D6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FCF1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7E3C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395,662.14</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54D29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D395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税收债权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6533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对债务人尚欠的增值税、城市维护建设税、企业所得税、印花税等税费予以确认</w:t>
            </w:r>
          </w:p>
        </w:tc>
      </w:tr>
      <w:tr w14:paraId="3F09B9B2">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B116A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E51A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74D5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955A1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38,367.09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91E1C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16BE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38,367.09</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EC6D9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F2324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38,367.09</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8147D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EC306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38,367.09</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6D5B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8270B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5446B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对债务人尚欠的税款滞纳金予以确认</w:t>
            </w:r>
          </w:p>
        </w:tc>
      </w:tr>
      <w:tr w14:paraId="3F14EAC4">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BE96B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0A4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2FA4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796.74</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B259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1828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EE93A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796.74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5633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796.74</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5DEF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7FF8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D0B50C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796.74</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DEC46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95525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社保债权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C8BDF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对债务人尚欠的医保费用（公司承担部分）予以确认</w:t>
            </w:r>
          </w:p>
        </w:tc>
      </w:tr>
      <w:tr w14:paraId="69D418FC">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083A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2BC42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国家税务总局龙岩市新罗区税务局</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5D72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50E3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840.02</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F127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78DBD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840.02</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1E37C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9BC8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840.02</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AE3A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4EF1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840.02</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D5BE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E4B9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9A2FB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对债务人尚欠的社保滞纳金予以确认</w:t>
            </w:r>
          </w:p>
        </w:tc>
      </w:tr>
      <w:tr w14:paraId="62956CAC">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0B8D1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3BAC8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杨惠文</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2418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0274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F1EC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33C7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059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9D12B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701C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CB321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861F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不予确认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CDA916">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6FAA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申报人提供的付款流水与借据出具的时间相隔较长，不存在合理性，故对该笔债权不予确认</w:t>
            </w:r>
          </w:p>
        </w:tc>
      </w:tr>
      <w:tr w14:paraId="69515CB1">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41259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7277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杨惠钟</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070F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C62F7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FF95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73F88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970,000.00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D5827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5B52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DE92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E238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37A63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79C6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EDA4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依据借据、银行流水等资料对债权予以确认；申报人提供的付款流水与借据出具的时间相隔较长，不存在合理性，故对剩余债权不予确认</w:t>
            </w:r>
          </w:p>
        </w:tc>
      </w:tr>
      <w:tr w14:paraId="3B8BB76C">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371D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5692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张大洪</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46AF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D3BD6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491C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743D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1B3F8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A4ED7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2EA9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3A1C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1AF1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4316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BEF69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2466B2AB">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EB6D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8641C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张黎红</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F7594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D596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752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28A66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0A633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21F5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092BA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4915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A60C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B8299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310EF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5DC64DF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D023A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0196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张曼华</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6E5F9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294,997.84</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7C96B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33,538.12</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0900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E582E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328,535.96</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B96E2B">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E8D5E11">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1C48B2">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31A1E6D">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5046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8667F4">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9C76B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68083B4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6F8D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BB50B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张顺昌</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E3734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198,915.26</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0430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24,599.19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7AFA3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AE7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223,514.45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4C05AA6">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208635">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7B76A2A">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F4E00F2">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C469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96EBC7">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151A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7518EE6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7E91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BE69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张笑玲</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ECC81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157,400.00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38D1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9681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CCC73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157,400.00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BF725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157,400.00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A054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8B764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F6CE8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157,400.00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E6D9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0A824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B0D1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01C379A4">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9F37F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52D8F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郑淑琼</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559E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00ABF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8FC66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DDF8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501F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33E5B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34270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9B2B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AD9E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F422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33663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78433B17">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0777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0B52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卓可烨</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DADC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999,264.00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47A6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130,725.28</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AE12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F875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1,129,989.28</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3E6FEFB">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755ABF">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504022">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48EA59">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BDCB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8A6558">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C53CB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061A3FE6">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D8277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FDE22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张宇</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A786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803,686.97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4F57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14,730.59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E0546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4,604.00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3BB6F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823,021.56</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2FF9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803,686.97</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7E1AA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14,730.59</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B0245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4,604.00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86A3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823,021.56</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BBA6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815A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C195C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5FC7E588">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8872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44-2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7A67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张宇</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FA3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DDE02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31,363.88</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57A4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79B9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31,363.88</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497C0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97437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18,283.88</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8EE8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A93C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18,283.88</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C608F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77E99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惩罚性债权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FFB1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依据生效法律文书对迟延履行期间的加倍债务利息予以确认</w:t>
            </w:r>
          </w:p>
        </w:tc>
      </w:tr>
      <w:tr w14:paraId="2FE5EFE1">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73B2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402E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陈占钦</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2120E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BC30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12,866.67</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B3499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6D7F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1,013,886.67</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D567AE">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889DA11">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6B92B47">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0353945">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1367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5AB6A4C">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CC9C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55448240">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2F06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BF9A0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陈玉文</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07BAF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95,357.48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CA6F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9,217.89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8B72F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EDC4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104,575.37</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EF6C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95,357.48</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77DD2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9,217.89</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3821B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FEE3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104,575.37</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AAA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817C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E3242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6ED056FB">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AB022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22A3E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陈如珍</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3533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383,357.48</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81D04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37,057.89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713D2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2D5D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420,415.37</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9A02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383,357.48</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FEE4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37,057.89</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EB30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6F3D0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420,415.37</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86691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189C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64405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6453AE9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9F6EE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4CB01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陈淑梅</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E6205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79ADB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21036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6D14C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715C0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1FE88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1B970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2D4C1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B20AE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49B2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5950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依据借据、银行流水等资料抵减已清偿款项后对债权予以确认</w:t>
            </w:r>
          </w:p>
        </w:tc>
      </w:tr>
      <w:tr w14:paraId="7DEE2E29">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1229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8412B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北京日青科贸有限公司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3DDB0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609,070.00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EE38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15,226.75</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D2530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D8D8B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624,296.75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520A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609,070.00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3148A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DCA7F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564C6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609,070.00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8405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部分确认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A42B9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4366B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依据购销合同、发票等材料对债权本金予以确认；申报的利息无依据不予确认</w:t>
            </w:r>
          </w:p>
        </w:tc>
      </w:tr>
      <w:tr w14:paraId="5208BFA1">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C4DA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76649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埃克森美孚（中国）投资有限公司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510BE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5,049,156.47</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1B9DF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307,367.41</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A149E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151,192.87</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5BF2F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5,507,716.75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78B748">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A9EC4D0">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0FE01D">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ADCA604">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77B27D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41B37FE">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2B7D3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因该笔债权涉及仲裁未决，管理人依法予以暂缓审查</w:t>
            </w:r>
          </w:p>
        </w:tc>
      </w:tr>
      <w:tr w14:paraId="0386C015">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1E69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1141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埃克森美孚化工商务（上海）有限公司</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497C6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557,928.75</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ADB48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33,230.52</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ADCAD8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14,599.04</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A3B9D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605,758.31</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98E48C">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0ADE46F">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1665F60">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BA9F5C">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AF4F2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01A1C89">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8955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因该笔债权涉及仲裁未决，管理人依法予以暂缓审查</w:t>
            </w:r>
          </w:p>
        </w:tc>
      </w:tr>
      <w:tr w14:paraId="0582832D">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E5A74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52</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F4D6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吴惠英</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9ACE5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322,860.00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D0C8A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38,743.20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6526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2CEE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361,603.20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E062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322,860.00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20E78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38,743.20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61364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DA334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361,603.20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9E7E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D95B5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56FD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依据生效法律文书对债权予以确认</w:t>
            </w:r>
          </w:p>
        </w:tc>
      </w:tr>
      <w:tr w14:paraId="455D69F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11C1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3CC37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陈武生</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D70B4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84B6D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38,127.67</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F2855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89907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322,127.67</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AA2CEA0">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249709C">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3365433">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4D83D1D">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8E349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974A2C8">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0C75A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5C321734">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800D3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54</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0C238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廖哲豪</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B63ED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1,041,605.89</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6999C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100,679.06</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B0C06A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A596F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1,142,284.95</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7CFA8ED">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58395DB">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A16EE5C">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2995354">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0587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75AC3F8">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7569E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申报人尚未能提供债权审查所必要的证据，故对该笔债权暂缓审查</w:t>
            </w:r>
          </w:p>
        </w:tc>
      </w:tr>
      <w:tr w14:paraId="3287C30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5B3A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1AEA7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王燕芬</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E1E3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334E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85759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E1C03C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1,100,000.00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80AC4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2373C0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4C952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33B58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1,100,000.00</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EC68E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98D03C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7A888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依据还款计划协议书、银行流水等资料对债权予以确认</w:t>
            </w:r>
          </w:p>
        </w:tc>
      </w:tr>
      <w:tr w14:paraId="1ADE04B3">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EC325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56</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3F2F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王红英</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07607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681,234.30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5D773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69,813.61</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92999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4,178.00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1F859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755,225.91</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10EE95B">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1A407B">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82C9D14">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D22C6E8">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CA954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BC3EF22">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79AE1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因该笔债权涉及诉讼未决，管理人依法予以暂缓审查</w:t>
            </w:r>
          </w:p>
        </w:tc>
      </w:tr>
      <w:tr w14:paraId="1CCF3F52">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316A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40773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厦门银行股份有限公司龙岩分行</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E66D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1,000,000.00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B3A7F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22,388.89</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7A60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275.92</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DFAE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1,022,664.81</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6934C6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1,000,000.00</w:t>
            </w: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ED742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22,388.89</w:t>
            </w: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668EE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275.92</w:t>
            </w: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CCC8F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1,022,664.81</w:t>
            </w: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14961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全部确认</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5EFEF6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普通债权</w:t>
            </w: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14ACF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依据执行证书予以确认</w:t>
            </w:r>
          </w:p>
        </w:tc>
      </w:tr>
      <w:tr w14:paraId="7842F602">
        <w:trPr>
          <w:trHeight w:val="9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49267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252"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0E38B3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龙岩市新罗区人民法院</w:t>
            </w:r>
          </w:p>
        </w:tc>
        <w:tc>
          <w:tcPr>
            <w:tcW w:w="15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5CB69D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110,790.50</w:t>
            </w:r>
          </w:p>
        </w:tc>
        <w:tc>
          <w:tcPr>
            <w:tcW w:w="115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1BEBF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97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B5948D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B86F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110,790.50</w:t>
            </w:r>
          </w:p>
        </w:tc>
        <w:tc>
          <w:tcPr>
            <w:tcW w:w="126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0BFAF59A">
            <w:pPr>
              <w:jc w:val="center"/>
              <w:rPr>
                <w:rFonts w:hint="eastAsia" w:ascii="宋体" w:hAnsi="宋体" w:eastAsia="宋体" w:cs="宋体"/>
                <w:i w:val="0"/>
                <w:iCs w:val="0"/>
                <w:color w:val="000000"/>
                <w:kern w:val="0"/>
                <w:sz w:val="22"/>
                <w:szCs w:val="22"/>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F09325">
            <w:pPr>
              <w:jc w:val="center"/>
              <w:rPr>
                <w:rFonts w:hint="eastAsia" w:ascii="宋体" w:hAnsi="宋体" w:eastAsia="宋体" w:cs="宋体"/>
                <w:i w:val="0"/>
                <w:iCs w:val="0"/>
                <w:color w:val="000000"/>
                <w:kern w:val="0"/>
                <w:sz w:val="22"/>
                <w:szCs w:val="22"/>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1854524C">
            <w:pPr>
              <w:jc w:val="center"/>
              <w:rPr>
                <w:rFonts w:hint="eastAsia" w:ascii="宋体" w:hAnsi="宋体" w:eastAsia="宋体" w:cs="宋体"/>
                <w:i w:val="0"/>
                <w:iCs w:val="0"/>
                <w:color w:val="000000"/>
                <w:kern w:val="0"/>
                <w:sz w:val="22"/>
                <w:szCs w:val="22"/>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42826E6B">
            <w:pPr>
              <w:jc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34949D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暂缓审查</w:t>
            </w:r>
          </w:p>
        </w:tc>
        <w:tc>
          <w:tcPr>
            <w:tcW w:w="59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AAA9BC6">
            <w:pPr>
              <w:jc w:val="center"/>
              <w:rPr>
                <w:rFonts w:hint="eastAsia" w:ascii="宋体" w:hAnsi="宋体" w:eastAsia="宋体" w:cs="宋体"/>
                <w:i w:val="0"/>
                <w:iCs w:val="0"/>
                <w:color w:val="000000"/>
                <w:kern w:val="0"/>
                <w:sz w:val="22"/>
                <w:szCs w:val="22"/>
                <w:u w:val="none"/>
                <w:lang w:val="en-US" w:eastAsia="zh-CN" w:bidi="ar"/>
              </w:rPr>
            </w:pPr>
          </w:p>
        </w:tc>
        <w:tc>
          <w:tcPr>
            <w:tcW w:w="226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14:paraId="7EB60E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因该笔债权涉及未决诉讼案件的受理费，待最终判决确定后方能予以确定案件受理费数额，故对该笔债权不予确认</w:t>
            </w:r>
          </w:p>
        </w:tc>
      </w:tr>
    </w:tbl>
    <w:p w14:paraId="0FC81411">
      <w:pPr>
        <w:pStyle w:val="2"/>
        <w:spacing w:before="312" w:after="157" w:line="240" w:lineRule="auto"/>
        <w:jc w:val="both"/>
        <w:rPr>
          <w:rFonts w:hint="eastAsia"/>
          <w:highlight w:val="none"/>
          <w:lang w:eastAsia="zh-CN"/>
        </w:rPr>
      </w:pPr>
    </w:p>
    <w:bookmarkEnd w:id="4"/>
    <w:p w14:paraId="0F3D6B8D">
      <w:pPr>
        <w:keepNext w:val="0"/>
        <w:keepLines w:val="0"/>
        <w:widowControl/>
        <w:numPr>
          <w:ilvl w:val="0"/>
          <w:numId w:val="0"/>
        </w:numPr>
        <w:suppressLineNumbers w:val="0"/>
        <w:jc w:val="both"/>
        <w:textAlignment w:val="center"/>
        <w:outlineLvl w:val="9"/>
        <w:rPr>
          <w:rFonts w:hint="eastAsia" w:ascii="仿宋" w:hAnsi="仿宋" w:eastAsia="仿宋" w:cs="仿宋"/>
          <w:b w:val="0"/>
          <w:bCs/>
          <w:i w:val="0"/>
          <w:color w:val="auto"/>
          <w:kern w:val="0"/>
          <w:sz w:val="24"/>
          <w:szCs w:val="24"/>
          <w:highlight w:val="none"/>
          <w:u w:val="none"/>
          <w:lang w:val="en-US" w:eastAsia="zh-CN" w:bidi="ar"/>
        </w:rPr>
      </w:pPr>
    </w:p>
    <w:p w14:paraId="44DB018C">
      <w:pPr>
        <w:widowControl/>
        <w:numPr>
          <w:ilvl w:val="255"/>
          <w:numId w:val="0"/>
        </w:numPr>
        <w:ind w:firstLine="562" w:firstLineChars="200"/>
        <w:jc w:val="left"/>
        <w:textAlignment w:val="center"/>
        <w:rPr>
          <w:rFonts w:ascii="仿宋" w:hAnsi="仿宋" w:eastAsia="仿宋" w:cs="仿宋"/>
          <w:b/>
          <w:bCs/>
          <w:color w:val="000000"/>
          <w:kern w:val="0"/>
          <w:szCs w:val="21"/>
          <w:lang w:bidi="ar"/>
        </w:rPr>
      </w:pPr>
    </w:p>
    <w:p w14:paraId="2A6996BD">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auto"/>
          <w:kern w:val="0"/>
          <w:sz w:val="40"/>
          <w:szCs w:val="40"/>
          <w:highlight w:val="none"/>
          <w:u w:val="none"/>
          <w:lang w:val="en-US" w:eastAsia="zh-CN" w:bidi="ar"/>
        </w:rPr>
      </w:pPr>
    </w:p>
    <w:p w14:paraId="64093D1D">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auto"/>
          <w:kern w:val="0"/>
          <w:sz w:val="40"/>
          <w:szCs w:val="40"/>
          <w:highlight w:val="none"/>
          <w:u w:val="none"/>
          <w:lang w:val="en-US" w:eastAsia="zh-CN" w:bidi="ar"/>
        </w:rPr>
      </w:pPr>
    </w:p>
    <w:p w14:paraId="5F4D6DF4">
      <w:pPr>
        <w:keepNext w:val="0"/>
        <w:keepLines w:val="0"/>
        <w:widowControl/>
        <w:numPr>
          <w:ilvl w:val="0"/>
          <w:numId w:val="0"/>
        </w:numPr>
        <w:suppressLineNumbers w:val="0"/>
        <w:jc w:val="center"/>
        <w:textAlignment w:val="center"/>
        <w:outlineLvl w:val="0"/>
        <w:rPr>
          <w:rFonts w:hint="eastAsia" w:ascii="黑体" w:hAnsi="黑体" w:eastAsia="黑体" w:cs="黑体"/>
          <w:b/>
          <w:i w:val="0"/>
          <w:color w:val="auto"/>
          <w:kern w:val="0"/>
          <w:sz w:val="40"/>
          <w:szCs w:val="40"/>
          <w:highlight w:val="none"/>
          <w:u w:val="none"/>
          <w:lang w:val="en-US" w:eastAsia="zh-CN" w:bidi="ar"/>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14:paraId="520F00B4">
      <w:pPr>
        <w:keepNext w:val="0"/>
        <w:keepLines w:val="0"/>
        <w:widowControl/>
        <w:numPr>
          <w:ilvl w:val="0"/>
          <w:numId w:val="0"/>
        </w:numPr>
        <w:suppressLineNumbers w:val="0"/>
        <w:jc w:val="both"/>
        <w:textAlignment w:val="center"/>
        <w:outlineLvl w:val="9"/>
        <w:rPr>
          <w:rFonts w:hint="eastAsia" w:ascii="黑体" w:hAnsi="黑体" w:eastAsia="黑体" w:cs="黑体"/>
          <w:b/>
          <w:bCs/>
          <w:spacing w:val="0"/>
          <w:sz w:val="40"/>
          <w:szCs w:val="44"/>
          <w:highlight w:val="none"/>
          <w:lang w:eastAsia="zh-CN"/>
        </w:rPr>
        <w:sectPr>
          <w:pgSz w:w="16838" w:h="11906" w:orient="landscape"/>
          <w:pgMar w:top="1797" w:right="1440" w:bottom="1797" w:left="1440" w:header="737" w:footer="992" w:gutter="0"/>
          <w:pgBorders>
            <w:top w:val="none" w:sz="0" w:space="0"/>
            <w:left w:val="none" w:sz="0" w:space="0"/>
            <w:bottom w:val="none" w:sz="0" w:space="0"/>
            <w:right w:val="none" w:sz="0" w:space="0"/>
          </w:pgBorders>
          <w:pgNumType w:fmt="decimal"/>
          <w:cols w:space="720" w:num="1"/>
          <w:docGrid w:linePitch="312" w:charSpace="0"/>
        </w:sectPr>
      </w:pPr>
    </w:p>
    <w:p w14:paraId="4197FB09">
      <w:pPr>
        <w:pStyle w:val="3"/>
        <w:jc w:val="distribute"/>
        <w:rPr>
          <w:rFonts w:hint="eastAsia"/>
          <w:sz w:val="44"/>
          <w:szCs w:val="44"/>
          <w:lang w:val="en-US" w:eastAsia="zh-CN"/>
        </w:rPr>
      </w:pPr>
      <w:r>
        <w:rPr>
          <w:rFonts w:hint="eastAsia"/>
          <w:sz w:val="44"/>
          <w:szCs w:val="44"/>
          <w:lang w:val="en-US" w:eastAsia="zh-CN"/>
        </w:rPr>
        <w:t>福建新莲花贸易有限公司</w:t>
      </w:r>
    </w:p>
    <w:p w14:paraId="1EDBF3B4">
      <w:pPr>
        <w:pStyle w:val="3"/>
        <w:jc w:val="center"/>
        <w:rPr>
          <w:sz w:val="44"/>
          <w:szCs w:val="44"/>
        </w:rPr>
      </w:pPr>
      <w:r>
        <w:rPr>
          <w:rFonts w:hint="eastAsia"/>
          <w:sz w:val="44"/>
          <w:szCs w:val="44"/>
          <w:lang w:val="en-US" w:eastAsia="zh-Hans"/>
        </w:rPr>
        <w:t>债务人</w:t>
      </w:r>
      <w:r>
        <w:rPr>
          <w:rFonts w:hint="eastAsia"/>
          <w:sz w:val="44"/>
          <w:szCs w:val="44"/>
        </w:rPr>
        <w:t>债权核</w:t>
      </w:r>
      <w:r>
        <w:rPr>
          <w:rFonts w:hint="eastAsia"/>
          <w:sz w:val="44"/>
          <w:szCs w:val="44"/>
          <w:lang w:val="en-US" w:eastAsia="zh-Hans"/>
        </w:rPr>
        <w:t>对</w:t>
      </w:r>
      <w:r>
        <w:rPr>
          <w:rFonts w:hint="eastAsia"/>
          <w:sz w:val="44"/>
          <w:szCs w:val="44"/>
        </w:rPr>
        <w:t>表</w:t>
      </w:r>
    </w:p>
    <w:tbl>
      <w:tblPr>
        <w:tblStyle w:val="8"/>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0"/>
      </w:tblGrid>
      <w:tr w14:paraId="743424BC">
        <w:trPr>
          <w:trHeight w:val="734" w:hRule="atLeast"/>
        </w:trPr>
        <w:tc>
          <w:tcPr>
            <w:tcW w:w="8720" w:type="dxa"/>
            <w:noWrap w:val="0"/>
            <w:vAlign w:val="center"/>
          </w:tcPr>
          <w:p w14:paraId="07938FDF">
            <w:pPr>
              <w:jc w:val="center"/>
              <w:rPr>
                <w:rFonts w:hint="default"/>
                <w:vertAlign w:val="baseline"/>
                <w:lang w:val="en-US" w:eastAsia="zh-CN"/>
              </w:rPr>
            </w:pPr>
            <w:r>
              <w:rPr>
                <w:rFonts w:hint="eastAsia" w:ascii="宋体" w:hAnsi="宋体"/>
                <w:sz w:val="24"/>
              </w:rPr>
              <w:t>对《债权表》中记载的债权编号</w:t>
            </w:r>
            <w:bookmarkStart w:id="32" w:name="_GoBack"/>
            <w:bookmarkEnd w:id="32"/>
            <w:r>
              <w:rPr>
                <w:rFonts w:hint="eastAsia" w:ascii="宋体" w:hAnsi="宋体"/>
                <w:sz w:val="24"/>
              </w:rPr>
              <w:t>第</w:t>
            </w:r>
            <w:r>
              <w:rPr>
                <w:rFonts w:ascii="宋体" w:hAnsi="宋体"/>
                <w:sz w:val="24"/>
                <w:u w:val="single"/>
              </w:rPr>
              <w:t xml:space="preserve">    </w:t>
            </w:r>
            <w:r>
              <w:rPr>
                <w:rFonts w:hint="eastAsia" w:ascii="宋体" w:hAnsi="宋体"/>
                <w:sz w:val="24"/>
                <w:u w:val="single"/>
                <w:lang w:val="en-US" w:eastAsia="zh-CN"/>
              </w:rPr>
              <w:t xml:space="preserve">              </w:t>
            </w:r>
            <w:r>
              <w:rPr>
                <w:rFonts w:ascii="宋体" w:hAnsi="宋体"/>
                <w:sz w:val="24"/>
                <w:u w:val="single"/>
              </w:rPr>
              <w:t xml:space="preserve">   </w:t>
            </w:r>
            <w:r>
              <w:rPr>
                <w:rFonts w:hint="eastAsia" w:ascii="宋体" w:hAnsi="宋体"/>
                <w:sz w:val="24"/>
              </w:rPr>
              <w:t>号债权</w:t>
            </w:r>
            <w:r>
              <w:rPr>
                <w:rFonts w:hint="eastAsia" w:ascii="宋体" w:hAnsi="宋体"/>
                <w:sz w:val="24"/>
                <w:lang w:eastAsia="zh-CN"/>
              </w:rPr>
              <w:t>审查</w:t>
            </w:r>
            <w:r>
              <w:rPr>
                <w:rFonts w:hint="eastAsia" w:ascii="宋体" w:hAnsi="宋体"/>
                <w:sz w:val="24"/>
              </w:rPr>
              <w:t>结果有异议</w:t>
            </w:r>
          </w:p>
        </w:tc>
      </w:tr>
      <w:tr w14:paraId="663436DB">
        <w:trPr>
          <w:trHeight w:val="8119" w:hRule="atLeast"/>
        </w:trPr>
        <w:tc>
          <w:tcPr>
            <w:tcW w:w="8720" w:type="dxa"/>
            <w:noWrap w:val="0"/>
            <w:vAlign w:val="top"/>
          </w:tcPr>
          <w:p w14:paraId="5378797B">
            <w:pPr>
              <w:tabs>
                <w:tab w:val="left" w:pos="3373"/>
              </w:tabs>
              <w:bidi w:val="0"/>
              <w:jc w:val="both"/>
              <w:rPr>
                <w:rFonts w:hint="eastAsia"/>
                <w:lang w:val="en-US" w:eastAsia="zh-CN"/>
              </w:rPr>
            </w:pPr>
          </w:p>
          <w:p w14:paraId="79DCD7CD">
            <w:pPr>
              <w:tabs>
                <w:tab w:val="left" w:pos="3373"/>
              </w:tabs>
              <w:bidi w:val="0"/>
              <w:jc w:val="both"/>
              <w:rPr>
                <w:rFonts w:hint="default"/>
                <w:lang w:val="en-US" w:eastAsia="zh-CN"/>
              </w:rPr>
            </w:pPr>
            <w:r>
              <w:rPr>
                <w:rFonts w:hint="eastAsia"/>
                <w:lang w:val="en-US" w:eastAsia="zh-CN"/>
              </w:rPr>
              <w:t>事实与理由：</w:t>
            </w:r>
          </w:p>
        </w:tc>
      </w:tr>
      <w:tr w14:paraId="531E109D">
        <w:trPr>
          <w:trHeight w:val="883" w:hRule="atLeast"/>
        </w:trPr>
        <w:tc>
          <w:tcPr>
            <w:tcW w:w="8720" w:type="dxa"/>
            <w:noWrap w:val="0"/>
            <w:vAlign w:val="top"/>
          </w:tcPr>
          <w:p w14:paraId="215D0251">
            <w:pPr>
              <w:wordWrap w:val="0"/>
              <w:spacing w:line="480" w:lineRule="auto"/>
              <w:ind w:firstLine="5320" w:firstLineChars="1900"/>
              <w:jc w:val="both"/>
              <w:rPr>
                <w:rFonts w:hint="default"/>
                <w:vertAlign w:val="baseline"/>
                <w:lang w:val="en-US" w:eastAsia="zh-CN"/>
              </w:rPr>
            </w:pPr>
            <w:r>
              <w:rPr>
                <w:rFonts w:hint="eastAsia"/>
                <w:vertAlign w:val="baseline"/>
                <w:lang w:val="en-US" w:eastAsia="zh-CN"/>
              </w:rPr>
              <w:t xml:space="preserve">签字：                </w:t>
            </w:r>
          </w:p>
          <w:p w14:paraId="5B8308E8">
            <w:pPr>
              <w:wordWrap w:val="0"/>
              <w:spacing w:line="480" w:lineRule="auto"/>
              <w:ind w:firstLine="5320" w:firstLineChars="1900"/>
              <w:jc w:val="both"/>
              <w:rPr>
                <w:rFonts w:hint="default"/>
                <w:vertAlign w:val="baseline"/>
                <w:lang w:val="en-US" w:eastAsia="zh-CN"/>
              </w:rPr>
            </w:pPr>
            <w:r>
              <w:rPr>
                <w:rFonts w:hint="eastAsia"/>
                <w:vertAlign w:val="baseline"/>
                <w:lang w:val="en-US" w:eastAsia="zh-CN"/>
              </w:rPr>
              <w:t xml:space="preserve">日期：                </w:t>
            </w:r>
          </w:p>
        </w:tc>
      </w:tr>
    </w:tbl>
    <w:p w14:paraId="0A610C3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_GB2312" w:hAnsi="华文仿宋" w:eastAsia="仿宋_GB2312" w:cs="Times New Roman"/>
          <w:b w:val="0"/>
          <w:kern w:val="2"/>
          <w:sz w:val="28"/>
          <w:szCs w:val="28"/>
          <w:lang w:val="en-US" w:eastAsia="zh-Hans"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4DB80">
    <w:pPr>
      <w:spacing w:line="1077" w:lineRule="exact"/>
      <w:ind w:left="-4" w:leftChars="-4" w:right="-67" w:rightChars="-24" w:hanging="7" w:hangingChars="2"/>
      <w:jc w:val="distribute"/>
      <w:rPr>
        <w:rFonts w:hint="eastAsia" w:ascii="方正小标宋简体" w:eastAsia="方正小标宋简体"/>
        <w:sz w:val="36"/>
        <w:szCs w:val="36"/>
      </w:rPr>
    </w:pPr>
    <w:r>
      <w:rPr>
        <w:rFonts w:hint="eastAsia" w:eastAsia="方正小标宋简体"/>
        <w:bCs/>
        <w:color w:val="FF0000"/>
        <w:spacing w:val="10"/>
        <w:w w:val="90"/>
        <w:sz w:val="40"/>
        <w:szCs w:val="40"/>
        <w:lang w:eastAsia="zh-CN"/>
      </w:rPr>
      <w:t>福建新莲花贸易有限公司管理人</w:t>
    </w:r>
  </w:p>
  <w:p w14:paraId="343B3BA4">
    <w:pPr>
      <w:pStyle w:val="6"/>
      <w:pBdr>
        <w:bottom w:val="none" w:color="auto" w:sz="0" w:space="1"/>
      </w:pBdr>
      <w:jc w:val="center"/>
      <w:rPr>
        <w:rFonts w:hint="default"/>
        <w:b/>
        <w:bCs/>
        <w:sz w:val="13"/>
        <w:szCs w:val="13"/>
        <w:lang w:val="en-US" w:eastAsia="zh-CN"/>
      </w:rPr>
    </w:pPr>
  </w:p>
  <w:p w14:paraId="654E9D3A">
    <w:pPr>
      <w:pStyle w:val="6"/>
      <w:pBdr>
        <w:bottom w:val="none" w:color="auto" w:sz="0" w:space="1"/>
      </w:pBdr>
      <w:rPr>
        <w:rFonts w:hint="eastAsia"/>
        <w:lang w:eastAsia="zh-CN"/>
      </w:rPr>
    </w:pPr>
    <w:r>
      <w:rPr>
        <w:rFonts w:hint="eastAsia" w:ascii="方正小标宋简体" w:eastAsia="方正小标宋简体"/>
        <w:sz w:val="44"/>
        <w:szCs w:val="44"/>
      </w:rPr>
      <mc:AlternateContent>
        <mc:Choice Requires="wps">
          <w:drawing>
            <wp:anchor distT="71755" distB="0" distL="114300" distR="114300" simplePos="0" relativeHeight="251659264" behindDoc="0" locked="0" layoutInCell="1" allowOverlap="1">
              <wp:simplePos x="0" y="0"/>
              <wp:positionH relativeFrom="page">
                <wp:posOffset>806450</wp:posOffset>
              </wp:positionH>
              <wp:positionV relativeFrom="margin">
                <wp:posOffset>-192405</wp:posOffset>
              </wp:positionV>
              <wp:extent cx="8884285" cy="0"/>
              <wp:effectExtent l="0" t="28575" r="5715" b="47625"/>
              <wp:wrapTopAndBottom/>
              <wp:docPr id="1" name="直接连接符 1"/>
              <wp:cNvGraphicFramePr/>
              <a:graphic xmlns:a="http://schemas.openxmlformats.org/drawingml/2006/main">
                <a:graphicData uri="http://schemas.microsoft.com/office/word/2010/wordprocessingShape">
                  <wps:wsp>
                    <wps:cNvCnPr/>
                    <wps:spPr>
                      <a:xfrm>
                        <a:off x="0" y="0"/>
                        <a:ext cx="8884285"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3.5pt;margin-top:-15.15pt;height:0pt;width:699.55pt;mso-position-horizontal-relative:page;mso-position-vertical-relative:margin;mso-wrap-distance-bottom:0pt;mso-wrap-distance-top:5.65pt;z-index:251659264;mso-width-relative:page;mso-height-relative:page;" filled="f" stroked="t" coordsize="21600,21600" o:gfxdata="UEsDBAoAAAAAAIdO4kAAAAAAAAAAAAAAAAAEAAAAZHJzL1BLAwQUAAAACACHTuJA3BrRK9UAAAAM&#10;AQAADwAAAGRycy9kb3ducmV2LnhtbE2PzW7CMBCE70h9B2srcQM7joAqjcOhUs/l79CjiZckIl5H&#10;tkPg7WukSu1xZkez35Tbu+3ZDX3oHCnIlgIYUu1MR42C0/Fz8QYsRE1G945QwQMDbKuXWakL4yba&#10;4+0QG5ZKKBRaQRvjUHAe6hatDks3IKXbxXmrY5K+4cbrKZXbnksh1tzqjtKHVg/40WJ9PYxWwffG&#10;k5v2X5ddPtIjyOF6lCuh1Pw1E+/AIt7jXxie+AkdqsR0diOZwPqk5SZtiQoWuciBPRMruc6AnX8t&#10;XpX8/4jqB1BLAwQUAAAACACHTuJAmLCdoPwBAADrAwAADgAAAGRycy9lMm9Eb2MueG1srVPNjtMw&#10;EL4j8Q6W7zRpRaGKmu5hS7kgqMTyAFPbaSz8J4/btC/BCyBxgxNH7rzNLo/BOOl2Ybn0QA7O2DP+&#10;Zr5vxvOrgzVsryJq72o+HpWcKSe81G5b8w83q2czzjCBk2C8UzU/KuRXi6dP5l2o1MS33kgVGYE4&#10;rLpQ8zalUBUFilZZwJEPypGz8dFCom3cFjJCR+jWFJOyfFF0PsoQvVCIdLocnPyEGC8B9E2jhVp6&#10;sbPKpQE1KgOJKGGrA/JFX23TKJHeNQ2qxEzNiWnqV0pC9iavxWIO1TZCaLU4lQCXlPCIkwXtKOkZ&#10;agkJ2C7qf6CsFtGjb9JIeFsMRHpFiMW4fKTN+xaC6rmQ1BjOouP/gxVv9+vItKRJ4MyBpYbfff5x&#10;++nrr59faL37/o2Ns0hdwIpir906nnYY1jEzPjTR5j9xYYde2ONZWHVITNDhbDZ7PplNORP3vuLh&#10;YoiYXitvWTZqbrTLnKGC/RtMlIxC70PysXGsq/n05XhKPRRAE9hQ58m0gVgk6uPHm/bUDfRGy5U2&#10;Jl/EuN1cm8j2QLOwWpX0ZWYE/1dYzrUEbIe43jVMSatAvnKSpWMglRw9Dp4rsUpyZhS9pWwRIFQJ&#10;tLkkklIbRxVkcQc5s7Xx8kg92YWoty0J0uvfx9AM9PWe5jUP2Z/7HunhjS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wa0SvVAAAADAEAAA8AAAAAAAAAAQAgAAAAIgAAAGRycy9kb3ducmV2Lnht&#10;bFBLAQIUABQAAAAIAIdO4kCYsJ2g/AEAAOsDAAAOAAAAAAAAAAEAIAAAACQBAABkcnMvZTJvRG9j&#10;LnhtbFBLBQYAAAAABgAGAFkBAACSBQAAAAA=&#10;">
              <v:fill on="f" focussize="0,0"/>
              <v:stroke weight="4.5pt" color="#FF0000" linestyle="thickThin" joinstyle="round"/>
              <v:imagedata o:title=""/>
              <o:lock v:ext="edit" aspectratio="f"/>
              <w10:wrap type="topAndBottom"/>
            </v:line>
          </w:pict>
        </mc:Fallback>
      </mc:AlternateContent>
    </w:r>
  </w:p>
  <w:p w14:paraId="3920558B">
    <w:pPr>
      <w:pStyle w:val="6"/>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7C371D"/>
    <w:multiLevelType w:val="singleLevel"/>
    <w:tmpl w:val="7F7C371D"/>
    <w:lvl w:ilvl="0" w:tentative="0">
      <w:start w:val="202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jNzczNTJhZTE2N2I0ZmJlOThiYWU2YWI4OTRmYzYifQ=="/>
    <w:docVar w:name="KSO_WPS_MARK_KEY" w:val="b6ddaf95-dab2-45d1-8081-2e802e8cee24"/>
  </w:docVars>
  <w:rsids>
    <w:rsidRoot w:val="00172A27"/>
    <w:rsid w:val="02061E43"/>
    <w:rsid w:val="027950A0"/>
    <w:rsid w:val="043F6DC8"/>
    <w:rsid w:val="05673DAD"/>
    <w:rsid w:val="056B1570"/>
    <w:rsid w:val="079A2552"/>
    <w:rsid w:val="083237FC"/>
    <w:rsid w:val="08A52FEB"/>
    <w:rsid w:val="097F1E8C"/>
    <w:rsid w:val="0A142089"/>
    <w:rsid w:val="0B560953"/>
    <w:rsid w:val="0C4B5C16"/>
    <w:rsid w:val="0C745A9A"/>
    <w:rsid w:val="0CE7073F"/>
    <w:rsid w:val="0D020A0B"/>
    <w:rsid w:val="0E1427C0"/>
    <w:rsid w:val="0E171886"/>
    <w:rsid w:val="0EAD05D0"/>
    <w:rsid w:val="0EE522DB"/>
    <w:rsid w:val="117A57E3"/>
    <w:rsid w:val="12745F08"/>
    <w:rsid w:val="13250FB0"/>
    <w:rsid w:val="14B01AF0"/>
    <w:rsid w:val="15B6222E"/>
    <w:rsid w:val="17AB39D3"/>
    <w:rsid w:val="181071AC"/>
    <w:rsid w:val="19052AAF"/>
    <w:rsid w:val="191C52A8"/>
    <w:rsid w:val="19FD67E3"/>
    <w:rsid w:val="1B2D4345"/>
    <w:rsid w:val="1C4D191D"/>
    <w:rsid w:val="1CCC2E22"/>
    <w:rsid w:val="1D412E8A"/>
    <w:rsid w:val="1D9D0553"/>
    <w:rsid w:val="1EF36A8B"/>
    <w:rsid w:val="1FE56DE3"/>
    <w:rsid w:val="20D44015"/>
    <w:rsid w:val="21B960D2"/>
    <w:rsid w:val="21CB3A0E"/>
    <w:rsid w:val="21E54DB1"/>
    <w:rsid w:val="2237485C"/>
    <w:rsid w:val="23023104"/>
    <w:rsid w:val="25A72537"/>
    <w:rsid w:val="262D48F3"/>
    <w:rsid w:val="27816E34"/>
    <w:rsid w:val="27FF723F"/>
    <w:rsid w:val="28BE76A5"/>
    <w:rsid w:val="2A7523C5"/>
    <w:rsid w:val="2B566B28"/>
    <w:rsid w:val="32C45A51"/>
    <w:rsid w:val="33570E46"/>
    <w:rsid w:val="33A81036"/>
    <w:rsid w:val="33AB4A62"/>
    <w:rsid w:val="33BD33EB"/>
    <w:rsid w:val="33EF2883"/>
    <w:rsid w:val="36126D79"/>
    <w:rsid w:val="38DF5965"/>
    <w:rsid w:val="3A014937"/>
    <w:rsid w:val="3A105485"/>
    <w:rsid w:val="3A6C6EB6"/>
    <w:rsid w:val="3B122E7E"/>
    <w:rsid w:val="3CDF6400"/>
    <w:rsid w:val="3DDF1A57"/>
    <w:rsid w:val="3E9265FB"/>
    <w:rsid w:val="409F0703"/>
    <w:rsid w:val="41F83BB0"/>
    <w:rsid w:val="435718DF"/>
    <w:rsid w:val="44055877"/>
    <w:rsid w:val="44802EB5"/>
    <w:rsid w:val="453FA8C9"/>
    <w:rsid w:val="4551636C"/>
    <w:rsid w:val="478D0C4E"/>
    <w:rsid w:val="489B47BB"/>
    <w:rsid w:val="49367ADC"/>
    <w:rsid w:val="4A394D65"/>
    <w:rsid w:val="4BBF1485"/>
    <w:rsid w:val="4C0575F5"/>
    <w:rsid w:val="4C5345AF"/>
    <w:rsid w:val="4C5B4AC8"/>
    <w:rsid w:val="4D192DD4"/>
    <w:rsid w:val="4D3F4625"/>
    <w:rsid w:val="4DB932D4"/>
    <w:rsid w:val="4E751ACC"/>
    <w:rsid w:val="4F2545E5"/>
    <w:rsid w:val="4FF260E2"/>
    <w:rsid w:val="50670A52"/>
    <w:rsid w:val="52D61563"/>
    <w:rsid w:val="537B4906"/>
    <w:rsid w:val="540F0813"/>
    <w:rsid w:val="54371514"/>
    <w:rsid w:val="558C6691"/>
    <w:rsid w:val="55FB216C"/>
    <w:rsid w:val="576D0AD3"/>
    <w:rsid w:val="591A2BA2"/>
    <w:rsid w:val="5B354B4F"/>
    <w:rsid w:val="5B557525"/>
    <w:rsid w:val="5C24527D"/>
    <w:rsid w:val="5C8818DD"/>
    <w:rsid w:val="5DF4767B"/>
    <w:rsid w:val="5E313191"/>
    <w:rsid w:val="5E343D6A"/>
    <w:rsid w:val="5E40270F"/>
    <w:rsid w:val="5ED846F5"/>
    <w:rsid w:val="5F28521A"/>
    <w:rsid w:val="609964FE"/>
    <w:rsid w:val="614D5DDD"/>
    <w:rsid w:val="64260681"/>
    <w:rsid w:val="64C404E0"/>
    <w:rsid w:val="67056738"/>
    <w:rsid w:val="67822460"/>
    <w:rsid w:val="678D782E"/>
    <w:rsid w:val="690A5DF3"/>
    <w:rsid w:val="6B063579"/>
    <w:rsid w:val="6BFB7C75"/>
    <w:rsid w:val="6EE26368"/>
    <w:rsid w:val="6F7E6BF3"/>
    <w:rsid w:val="70AB374F"/>
    <w:rsid w:val="713779A1"/>
    <w:rsid w:val="721B4BCD"/>
    <w:rsid w:val="7322167A"/>
    <w:rsid w:val="73883B7D"/>
    <w:rsid w:val="74A86F2F"/>
    <w:rsid w:val="74AA1E66"/>
    <w:rsid w:val="74BE5EA9"/>
    <w:rsid w:val="7574395E"/>
    <w:rsid w:val="7637345C"/>
    <w:rsid w:val="76774012"/>
    <w:rsid w:val="771F2BE3"/>
    <w:rsid w:val="7816799E"/>
    <w:rsid w:val="78285131"/>
    <w:rsid w:val="7A2825F7"/>
    <w:rsid w:val="7A5B438C"/>
    <w:rsid w:val="7A752A91"/>
    <w:rsid w:val="7C375D79"/>
    <w:rsid w:val="7CB43C54"/>
    <w:rsid w:val="7F62291F"/>
    <w:rsid w:val="E6FF7883"/>
    <w:rsid w:val="EF5A0FE5"/>
    <w:rsid w:val="EFF484D5"/>
    <w:rsid w:val="F9FF348C"/>
    <w:rsid w:val="FBF33429"/>
    <w:rsid w:val="FBFB5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简" w:asciiTheme="minorAscii" w:hAnsiTheme="minorAscii" w:eastAsiaTheme="minorEastAsia"/>
      <w:kern w:val="2"/>
      <w:sz w:val="28"/>
      <w:szCs w:val="28"/>
      <w:lang w:val="en-US" w:eastAsia="zh-CN" w:bidi="ar-SA"/>
    </w:rPr>
  </w:style>
  <w:style w:type="paragraph" w:styleId="2">
    <w:name w:val="heading 1"/>
    <w:basedOn w:val="1"/>
    <w:next w:val="1"/>
    <w:qFormat/>
    <w:uiPriority w:val="9"/>
    <w:pPr>
      <w:keepNext/>
      <w:keepLines/>
      <w:spacing w:before="100" w:beforeLines="100" w:after="50" w:afterLines="50"/>
      <w:jc w:val="center"/>
      <w:outlineLvl w:val="0"/>
    </w:pPr>
    <w:rPr>
      <w:rFonts w:eastAsia="黑体"/>
      <w:b/>
      <w:bCs/>
      <w:kern w:val="44"/>
      <w:sz w:val="44"/>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889</Words>
  <Characters>1095</Characters>
  <Lines>0</Lines>
  <Paragraphs>0</Paragraphs>
  <TotalTime>0</TotalTime>
  <ScaleCrop>false</ScaleCrop>
  <LinksUpToDate>false</LinksUpToDate>
  <CharactersWithSpaces>1150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2021-10-27T10:03:00Z</dcterms:created>
  <dc:creator>ζ</dc:creator>
  <cp:lastModifiedBy>小玲玲</cp:lastModifiedBy>
  <dcterms:modified xsi:type="dcterms:W3CDTF">2026-10-11T00:17:49Z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0CB5296F87224FA4991A7DC24EE7C1D1</vt:lpwstr>
  </property>
  <property fmtid="{D5CDD505-2E9C-101B-9397-08002B2CF9AE}" pid="4" name="KSOTemplateDocerSaveRecord">
    <vt:lpwstr>eyJoZGlkIjoiYjFjYmZhNzI0YjI0NWE0YmY2Njc0MWUxOTU5N2MwZDciLCJ1c2VySWQiOiIzNzgwMzQzNzgifQ==</vt:lpwstr>
  </property>
</Properties>
</file>