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4EAB34">
      <w:pPr>
        <w:spacing w:line="1077" w:lineRule="exact"/>
        <w:ind w:left="1" w:leftChars="-4" w:right="-50" w:rightChars="-24" w:hanging="9" w:hangingChars="2"/>
        <w:jc w:val="distribute"/>
        <w:rPr>
          <w:rFonts w:hint="eastAsia" w:ascii="宋体" w:hAnsi="宋体" w:eastAsia="宋体" w:cs="Times New Roman"/>
          <w:b/>
          <w:bCs/>
          <w:color w:val="auto"/>
          <w:kern w:val="2"/>
          <w:sz w:val="44"/>
          <w:szCs w:val="44"/>
          <w:lang w:val="en-US" w:eastAsia="zh-CN" w:bidi="ar-SA"/>
        </w:rPr>
      </w:pPr>
      <w:r>
        <w:rPr>
          <w:rFonts w:hint="eastAsia" w:eastAsia="方正小标宋简体"/>
          <w:bCs/>
          <w:color w:val="FF0000"/>
          <w:spacing w:val="10"/>
          <w:w w:val="90"/>
          <w:sz w:val="48"/>
          <w:szCs w:val="48"/>
          <w:lang w:eastAsia="zh-CN"/>
        </w:rPr>
        <w:t>泉州顺康鞋业有限公司管理人</w:t>
      </w:r>
      <w:r>
        <w:rPr>
          <w:rFonts w:hint="eastAsia" w:ascii="方正小标宋简体" w:eastAsia="方正小标宋简体"/>
          <w:sz w:val="44"/>
          <w:szCs w:val="44"/>
        </w:rPr>
        <mc:AlternateContent>
          <mc:Choice Requires="wps">
            <w:drawing>
              <wp:anchor distT="71755" distB="0" distL="114300" distR="114300" simplePos="0" relativeHeight="251659264" behindDoc="0" locked="0" layoutInCell="1" allowOverlap="1">
                <wp:simplePos x="0" y="0"/>
                <wp:positionH relativeFrom="page">
                  <wp:posOffset>914400</wp:posOffset>
                </wp:positionH>
                <wp:positionV relativeFrom="margin">
                  <wp:posOffset>791845</wp:posOffset>
                </wp:positionV>
                <wp:extent cx="5867400" cy="0"/>
                <wp:effectExtent l="0" t="28575" r="0" b="28575"/>
                <wp:wrapTopAndBottom/>
                <wp:docPr id="1" name="直接连接符 1"/>
                <wp:cNvGraphicFramePr/>
                <a:graphic xmlns:a="http://schemas.openxmlformats.org/drawingml/2006/main">
                  <a:graphicData uri="http://schemas.microsoft.com/office/word/2010/wordprocessingShape">
                    <wps:wsp>
                      <wps:cNvCnPr/>
                      <wps:spPr>
                        <a:xfrm>
                          <a:off x="0" y="0"/>
                          <a:ext cx="5867400" cy="0"/>
                        </a:xfrm>
                        <a:prstGeom prst="line">
                          <a:avLst/>
                        </a:prstGeom>
                        <a:ln w="57150" cap="flat" cmpd="thickThin">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72pt;margin-top:62.35pt;height:0pt;width:462pt;mso-position-horizontal-relative:page;mso-position-vertical-relative:margin;mso-wrap-distance-bottom:0pt;mso-wrap-distance-top:5.65pt;z-index:251659264;mso-width-relative:page;mso-height-relative:page;" filled="f" stroked="t" coordsize="21600,21600" o:gfxdata="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zZHALUAAAADAEAAA8AAAAAAAAAAQAgAAAAIgAAAGRycy9kb3ducmV2LnhtbFBL&#10;AQIUABQAAAAIAIdO4kB5Qkz++gEAAOsDAAAOAAAAAAAAAAEAIAAAACMBAABkcnMvZTJvRG9jLnht&#10;bFBLBQYAAAAABgAGAFkBAACPBQAAAAA=&#10;">
                <v:fill on="f" focussize="0,0"/>
                <v:stroke weight="4.5pt" color="#FF0000" linestyle="thickThin" joinstyle="round"/>
                <v:imagedata o:title=""/>
                <o:lock v:ext="edit" aspectratio="f"/>
                <w10:wrap type="topAndBottom"/>
              </v:line>
            </w:pict>
          </mc:Fallback>
        </mc:AlternateContent>
      </w:r>
    </w:p>
    <w:p w14:paraId="565532B5">
      <w:pPr>
        <w:jc w:val="center"/>
        <w:rPr>
          <w:rFonts w:hint="eastAsia" w:ascii="仿宋" w:hAnsi="仿宋" w:eastAsia="仿宋" w:cs="仿宋"/>
          <w:color w:val="auto"/>
          <w:sz w:val="36"/>
          <w:szCs w:val="36"/>
          <w:lang w:val="en-US" w:eastAsia="zh-CN"/>
        </w:rPr>
      </w:pPr>
      <w:r>
        <w:rPr>
          <w:rFonts w:hint="eastAsia" w:ascii="宋体" w:hAnsi="宋体" w:eastAsia="宋体" w:cs="Times New Roman"/>
          <w:b/>
          <w:bCs/>
          <w:color w:val="auto"/>
          <w:kern w:val="2"/>
          <w:sz w:val="44"/>
          <w:szCs w:val="44"/>
          <w:lang w:val="en-US" w:eastAsia="zh-CN" w:bidi="ar-SA"/>
        </w:rPr>
        <w:t>关于债权性质复核的报告</w:t>
      </w:r>
    </w:p>
    <w:p w14:paraId="03546EDE">
      <w:pPr>
        <w:keepNext w:val="0"/>
        <w:keepLines w:val="0"/>
        <w:pageBreakBefore w:val="0"/>
        <w:widowControl w:val="0"/>
        <w:numPr>
          <w:ilvl w:val="0"/>
          <w:numId w:val="1"/>
        </w:numPr>
        <w:kinsoku/>
        <w:wordWrap/>
        <w:overflowPunct/>
        <w:topLinePunct w:val="0"/>
        <w:autoSpaceDE/>
        <w:autoSpaceDN/>
        <w:bidi w:val="0"/>
        <w:adjustRightInd/>
        <w:snapToGrid/>
        <w:spacing w:line="560" w:lineRule="exact"/>
        <w:jc w:val="righ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顺康鞋业破管字第22号</w:t>
      </w:r>
    </w:p>
    <w:p w14:paraId="5510E816">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泉州顺康鞋业有限公司债权人</w:t>
      </w:r>
      <w:r>
        <w:rPr>
          <w:rFonts w:hint="eastAsia" w:ascii="仿宋" w:hAnsi="仿宋" w:eastAsia="仿宋" w:cs="仿宋"/>
          <w:color w:val="auto"/>
          <w:sz w:val="28"/>
          <w:szCs w:val="28"/>
          <w:highlight w:val="none"/>
        </w:rPr>
        <w:t>：</w:t>
      </w:r>
    </w:p>
    <w:p w14:paraId="60D436FF">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泉州顺康鞋业有限公司及其法定代表人、股东：</w:t>
      </w:r>
    </w:p>
    <w:p w14:paraId="52066A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eastAsia="zh-CN"/>
        </w:rPr>
        <w:t>泉州顺康鞋业有限公司破产清算案，管理人对已申报的债权进行登记造册，审查并编制了债权表。</w:t>
      </w:r>
      <w:r>
        <w:rPr>
          <w:rFonts w:hint="eastAsia" w:ascii="仿宋" w:hAnsi="仿宋" w:eastAsia="仿宋" w:cs="仿宋"/>
          <w:color w:val="auto"/>
          <w:sz w:val="28"/>
          <w:szCs w:val="28"/>
          <w:highlight w:val="none"/>
          <w:lang w:val="en-US" w:eastAsia="zh-CN"/>
        </w:rPr>
        <w:t>截至2026年9月26日，共有8户债权人向管理人申报了10笔债权，申报总金额为4,220,746.57元。</w:t>
      </w:r>
    </w:p>
    <w:p w14:paraId="569D63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经审查，管理人全部确认及部分确认的债权为8户10笔，债权金额为4,191,260.95元。管理人将载有审查结果的债权表载于《泉州顺康鞋业有限公司第一次债权人会议会议资料》提交债权人会议核查，并交债务人核对。</w:t>
      </w:r>
    </w:p>
    <w:p w14:paraId="737F73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经债权人核查，泉州市医疗保障基金中心晋江分中心等5户债权人向管理人提交债权核查表，表明对其本人及他人的债权审查结果无异议；中国建设银行股份有限公司晋江分行等3户债权人逾期未向管理人提交债权核查表，视为对管理人审查认定的债权无异议。</w:t>
      </w:r>
    </w:p>
    <w:p w14:paraId="7E4DF29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第一次债权人会议后，管理人对各债权的债权性质进行审慎复核，根据相关法律规定对编号7-2债权的债权性质予以修改，即由“普通债权（劣</w:t>
      </w:r>
      <w:bookmarkStart w:id="5" w:name="_GoBack"/>
      <w:bookmarkEnd w:id="5"/>
      <w:r>
        <w:rPr>
          <w:rFonts w:hint="eastAsia" w:ascii="仿宋" w:hAnsi="仿宋" w:eastAsia="仿宋" w:cs="仿宋"/>
          <w:color w:val="auto"/>
          <w:sz w:val="28"/>
          <w:szCs w:val="28"/>
          <w:highlight w:val="none"/>
          <w:lang w:val="en-US" w:eastAsia="zh-CN"/>
        </w:rPr>
        <w:t>后清偿）”修改为“劣后债权”，具体详见《泉州顺康鞋业有限公司债权表》。</w:t>
      </w:r>
    </w:p>
    <w:p w14:paraId="47F965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如债权人、债务人对本复核结果有异议的，可于收到本报告之日起十五日内向福建省晋江市人民法院提起债权确认的诉讼。当事人之间在破产申请受理前订立有仲裁条款或仲裁协议的，应当向选定的仲裁机构申请确认债权债务关系。未在上述期限内提出诉讼或仲裁的，视为对管理人的复核结果无异议。</w:t>
      </w:r>
    </w:p>
    <w:p w14:paraId="70F310F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特此报告</w:t>
      </w:r>
    </w:p>
    <w:p w14:paraId="5AD1AC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righ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泉州顺康鞋业有限公司管理人</w:t>
      </w:r>
    </w:p>
    <w:p w14:paraId="7414CF5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right"/>
        <w:textAlignment w:val="auto"/>
        <w:rPr>
          <w:rFonts w:hint="eastAsia" w:ascii="仿宋" w:hAnsi="仿宋" w:eastAsia="仿宋" w:cs="仿宋"/>
          <w:color w:val="auto"/>
          <w:sz w:val="28"/>
          <w:szCs w:val="28"/>
          <w:highlight w:val="none"/>
          <w:lang w:val="en-US" w:eastAsia="zh-CN"/>
        </w:rPr>
        <w:sectPr>
          <w:headerReference r:id="rId3" w:type="default"/>
          <w:footerReference r:id="rId4" w:type="default"/>
          <w:pgSz w:w="11906" w:h="16838"/>
          <w:pgMar w:top="1043"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仿宋" w:hAnsi="仿宋" w:eastAsia="仿宋" w:cs="仿宋"/>
          <w:color w:val="auto"/>
          <w:sz w:val="28"/>
          <w:szCs w:val="28"/>
          <w:highlight w:val="none"/>
          <w:lang w:val="en-US" w:eastAsia="zh-CN"/>
        </w:rPr>
        <w:t xml:space="preserve">                              二〇二六年十一月三日</w:t>
      </w:r>
    </w:p>
    <w:p w14:paraId="76475B01">
      <w:pPr>
        <w:keepNext w:val="0"/>
        <w:keepLines w:val="0"/>
        <w:widowControl/>
        <w:numPr>
          <w:ilvl w:val="0"/>
          <w:numId w:val="0"/>
        </w:numPr>
        <w:suppressLineNumbers w:val="0"/>
        <w:jc w:val="center"/>
        <w:textAlignment w:val="center"/>
        <w:outlineLvl w:val="0"/>
        <w:rPr>
          <w:rFonts w:hint="eastAsia" w:ascii="黑体" w:hAnsi="黑体" w:eastAsia="黑体" w:cs="黑体"/>
          <w:b/>
          <w:i w:val="0"/>
          <w:color w:val="auto"/>
          <w:kern w:val="0"/>
          <w:sz w:val="40"/>
          <w:szCs w:val="40"/>
          <w:highlight w:val="none"/>
          <w:u w:val="none"/>
          <w:lang w:val="en-US" w:eastAsia="zh-CN" w:bidi="ar"/>
        </w:rPr>
      </w:pPr>
      <w:bookmarkStart w:id="0" w:name="_Toc941454957"/>
      <w:bookmarkStart w:id="1" w:name="_Toc747"/>
      <w:bookmarkStart w:id="2" w:name="_Toc25856"/>
      <w:bookmarkStart w:id="3" w:name="_Toc15322"/>
      <w:bookmarkStart w:id="4" w:name="_Toc3258"/>
      <w:r>
        <w:rPr>
          <w:rFonts w:hint="eastAsia" w:ascii="黑体" w:hAnsi="黑体" w:eastAsia="黑体" w:cs="黑体"/>
          <w:b/>
          <w:i w:val="0"/>
          <w:color w:val="auto"/>
          <w:kern w:val="0"/>
          <w:sz w:val="40"/>
          <w:szCs w:val="40"/>
          <w:highlight w:val="none"/>
          <w:u w:val="none"/>
          <w:lang w:val="en-US" w:eastAsia="zh-CN" w:bidi="ar"/>
        </w:rPr>
        <w:t>泉州顺康鞋业有限公司债权表</w:t>
      </w:r>
      <w:bookmarkEnd w:id="0"/>
    </w:p>
    <w:p w14:paraId="6507B071">
      <w:pPr>
        <w:keepNext w:val="0"/>
        <w:keepLines w:val="0"/>
        <w:widowControl/>
        <w:numPr>
          <w:ilvl w:val="0"/>
          <w:numId w:val="0"/>
        </w:numPr>
        <w:suppressLineNumbers w:val="0"/>
        <w:jc w:val="center"/>
        <w:textAlignment w:val="center"/>
        <w:outlineLvl w:val="9"/>
        <w:rPr>
          <w:rFonts w:hint="eastAsia" w:ascii="仿宋" w:hAnsi="仿宋" w:eastAsia="仿宋" w:cs="仿宋"/>
          <w:b w:val="0"/>
          <w:bCs/>
          <w:i w:val="0"/>
          <w:color w:val="auto"/>
          <w:kern w:val="0"/>
          <w:sz w:val="24"/>
          <w:szCs w:val="24"/>
          <w:highlight w:val="none"/>
          <w:u w:val="none"/>
          <w:lang w:val="en-US" w:eastAsia="zh-CN" w:bidi="ar"/>
        </w:rPr>
      </w:pPr>
      <w:r>
        <w:rPr>
          <w:rFonts w:hint="eastAsia" w:ascii="仿宋" w:hAnsi="仿宋" w:eastAsia="仿宋" w:cs="仿宋"/>
          <w:b w:val="0"/>
          <w:bCs/>
          <w:i w:val="0"/>
          <w:color w:val="auto"/>
          <w:kern w:val="0"/>
          <w:sz w:val="24"/>
          <w:szCs w:val="24"/>
          <w:highlight w:val="none"/>
          <w:u w:val="none"/>
          <w:lang w:val="en-US" w:eastAsia="zh-CN" w:bidi="ar"/>
        </w:rPr>
        <w:t>（截止日期：2026年11月3日；单位：人民币元）</w:t>
      </w:r>
    </w:p>
    <w:p w14:paraId="3B629668">
      <w:pPr>
        <w:keepNext w:val="0"/>
        <w:keepLines w:val="0"/>
        <w:widowControl/>
        <w:numPr>
          <w:ilvl w:val="0"/>
          <w:numId w:val="0"/>
        </w:numPr>
        <w:suppressLineNumbers w:val="0"/>
        <w:jc w:val="left"/>
        <w:textAlignment w:val="center"/>
        <w:rPr>
          <w:rFonts w:hint="eastAsia" w:ascii="仿宋" w:hAnsi="仿宋" w:eastAsia="仿宋" w:cs="仿宋"/>
          <w:b/>
          <w:i w:val="0"/>
          <w:color w:val="auto"/>
          <w:kern w:val="0"/>
          <w:sz w:val="28"/>
          <w:szCs w:val="28"/>
          <w:highlight w:val="none"/>
          <w:u w:val="none"/>
          <w:lang w:val="en-US" w:eastAsia="zh-CN" w:bidi="ar"/>
        </w:rPr>
      </w:pPr>
    </w:p>
    <w:tbl>
      <w:tblPr>
        <w:tblStyle w:val="5"/>
        <w:tblW w:w="15213" w:type="dxa"/>
        <w:jc w:val="center"/>
        <w:tblLayout w:type="fixed"/>
        <w:tblCellMar>
          <w:top w:w="0" w:type="dxa"/>
          <w:left w:w="0" w:type="dxa"/>
          <w:bottom w:w="0" w:type="dxa"/>
          <w:right w:w="0" w:type="dxa"/>
        </w:tblCellMar>
      </w:tblPr>
      <w:tblGrid>
        <w:gridCol w:w="548"/>
        <w:gridCol w:w="1502"/>
        <w:gridCol w:w="1305"/>
        <w:gridCol w:w="1155"/>
        <w:gridCol w:w="983"/>
        <w:gridCol w:w="1192"/>
        <w:gridCol w:w="1275"/>
        <w:gridCol w:w="1125"/>
        <w:gridCol w:w="938"/>
        <w:gridCol w:w="1620"/>
        <w:gridCol w:w="675"/>
        <w:gridCol w:w="577"/>
        <w:gridCol w:w="2318"/>
      </w:tblGrid>
      <w:tr w14:paraId="1992B039">
        <w:tblPrEx>
          <w:tblCellMar>
            <w:top w:w="0" w:type="dxa"/>
            <w:left w:w="0" w:type="dxa"/>
            <w:bottom w:w="0" w:type="dxa"/>
            <w:right w:w="0" w:type="dxa"/>
          </w:tblCellMar>
        </w:tblPrEx>
        <w:trPr>
          <w:trHeight w:val="560" w:hRule="atLeast"/>
          <w:tblHeader/>
          <w:jc w:val="center"/>
        </w:trPr>
        <w:tc>
          <w:tcPr>
            <w:tcW w:w="2050" w:type="dxa"/>
            <w:gridSpan w:val="2"/>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2A21CD5F">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债权人信息</w:t>
            </w:r>
          </w:p>
        </w:tc>
        <w:tc>
          <w:tcPr>
            <w:tcW w:w="4635" w:type="dxa"/>
            <w:gridSpan w:val="4"/>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188B5CA9">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申报情况</w:t>
            </w:r>
          </w:p>
        </w:tc>
        <w:tc>
          <w:tcPr>
            <w:tcW w:w="6210" w:type="dxa"/>
            <w:gridSpan w:val="6"/>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358EDC32">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审查情况</w:t>
            </w:r>
          </w:p>
        </w:tc>
        <w:tc>
          <w:tcPr>
            <w:tcW w:w="2318" w:type="dxa"/>
            <w:vMerge w:val="restart"/>
            <w:tcBorders>
              <w:top w:val="single" w:color="000000" w:sz="4" w:space="0"/>
              <w:left w:val="single" w:color="000000" w:sz="4" w:space="0"/>
              <w:right w:val="single" w:color="000000" w:sz="4" w:space="0"/>
            </w:tcBorders>
            <w:shd w:val="clear" w:color="auto" w:fill="7F7F7F"/>
            <w:noWrap w:val="0"/>
            <w:tcMar>
              <w:top w:w="15" w:type="dxa"/>
              <w:left w:w="15" w:type="dxa"/>
              <w:right w:w="15" w:type="dxa"/>
            </w:tcMar>
            <w:vAlign w:val="center"/>
          </w:tcPr>
          <w:p w14:paraId="717C76F1">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kern w:val="0"/>
                <w:sz w:val="21"/>
                <w:szCs w:val="21"/>
                <w:highlight w:val="none"/>
                <w:u w:val="none"/>
                <w:lang w:val="en-US" w:eastAsia="zh-CN" w:bidi="ar"/>
              </w:rPr>
            </w:pPr>
            <w:r>
              <w:rPr>
                <w:rFonts w:hint="eastAsia" w:ascii="仿宋" w:hAnsi="仿宋" w:eastAsia="仿宋" w:cs="仿宋"/>
                <w:b/>
                <w:i w:val="0"/>
                <w:color w:val="auto"/>
                <w:kern w:val="0"/>
                <w:sz w:val="21"/>
                <w:szCs w:val="21"/>
                <w:highlight w:val="none"/>
                <w:u w:val="none"/>
                <w:lang w:val="en-US" w:eastAsia="zh-CN" w:bidi="ar"/>
              </w:rPr>
              <w:t>备注</w:t>
            </w:r>
          </w:p>
        </w:tc>
      </w:tr>
      <w:tr w14:paraId="6574FDB2">
        <w:tblPrEx>
          <w:tblCellMar>
            <w:top w:w="0" w:type="dxa"/>
            <w:left w:w="0" w:type="dxa"/>
            <w:bottom w:w="0" w:type="dxa"/>
            <w:right w:w="0" w:type="dxa"/>
          </w:tblCellMar>
        </w:tblPrEx>
        <w:trPr>
          <w:trHeight w:val="654" w:hRule="atLeast"/>
          <w:tblHeader/>
          <w:jc w:val="center"/>
        </w:trPr>
        <w:tc>
          <w:tcPr>
            <w:tcW w:w="548"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4F1F0D97">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编号</w:t>
            </w:r>
          </w:p>
        </w:tc>
        <w:tc>
          <w:tcPr>
            <w:tcW w:w="1502"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2DB4FFAA">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申报人名称</w:t>
            </w:r>
          </w:p>
        </w:tc>
        <w:tc>
          <w:tcPr>
            <w:tcW w:w="1305"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08D75A96">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本金</w:t>
            </w:r>
          </w:p>
        </w:tc>
        <w:tc>
          <w:tcPr>
            <w:tcW w:w="1155"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69BC0D26">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利息</w:t>
            </w:r>
          </w:p>
        </w:tc>
        <w:tc>
          <w:tcPr>
            <w:tcW w:w="983"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1647CC3B">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其他</w:t>
            </w:r>
          </w:p>
        </w:tc>
        <w:tc>
          <w:tcPr>
            <w:tcW w:w="1192"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66C87194">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总额</w:t>
            </w:r>
          </w:p>
        </w:tc>
        <w:tc>
          <w:tcPr>
            <w:tcW w:w="1275"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6F1FC71A">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本金</w:t>
            </w:r>
          </w:p>
        </w:tc>
        <w:tc>
          <w:tcPr>
            <w:tcW w:w="1125"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71C7A4F8">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利息</w:t>
            </w:r>
          </w:p>
        </w:tc>
        <w:tc>
          <w:tcPr>
            <w:tcW w:w="938"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5766FDAD">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其他</w:t>
            </w:r>
          </w:p>
        </w:tc>
        <w:tc>
          <w:tcPr>
            <w:tcW w:w="1620"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2196DB2C">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审定债权</w:t>
            </w:r>
          </w:p>
        </w:tc>
        <w:tc>
          <w:tcPr>
            <w:tcW w:w="675"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6A277F55">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审查意见</w:t>
            </w:r>
          </w:p>
        </w:tc>
        <w:tc>
          <w:tcPr>
            <w:tcW w:w="577"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00A75462">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债权性质</w:t>
            </w:r>
          </w:p>
        </w:tc>
        <w:tc>
          <w:tcPr>
            <w:tcW w:w="2318" w:type="dxa"/>
            <w:vMerge w:val="continue"/>
            <w:tcBorders>
              <w:left w:val="single" w:color="000000" w:sz="4" w:space="0"/>
              <w:bottom w:val="single" w:color="000000" w:sz="4" w:space="0"/>
              <w:right w:val="single" w:color="000000" w:sz="4" w:space="0"/>
            </w:tcBorders>
            <w:shd w:val="clear" w:color="auto" w:fill="E7E6E6"/>
            <w:noWrap w:val="0"/>
            <w:tcMar>
              <w:top w:w="15" w:type="dxa"/>
              <w:left w:w="15" w:type="dxa"/>
              <w:right w:w="15" w:type="dxa"/>
            </w:tcMar>
            <w:vAlign w:val="center"/>
          </w:tcPr>
          <w:p w14:paraId="3C8467E3">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kern w:val="0"/>
                <w:sz w:val="21"/>
                <w:szCs w:val="21"/>
                <w:highlight w:val="none"/>
                <w:u w:val="none"/>
                <w:lang w:val="en-US" w:eastAsia="zh-CN" w:bidi="ar"/>
              </w:rPr>
            </w:pPr>
          </w:p>
        </w:tc>
      </w:tr>
      <w:tr w14:paraId="6EBA3EF8">
        <w:tblPrEx>
          <w:tblCellMar>
            <w:top w:w="0" w:type="dxa"/>
            <w:left w:w="0" w:type="dxa"/>
            <w:bottom w:w="0" w:type="dxa"/>
            <w:right w:w="0" w:type="dxa"/>
          </w:tblCellMar>
        </w:tblPrEx>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B40E8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AB940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中国建设银行股份有限公司晋江分行</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F0081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980,718.88</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81C02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271,782.84</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2C5FE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3,780.00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EBDBC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1,256,281.72</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DD3BD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980,718.88</w:t>
            </w: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00043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242,808.39</w:t>
            </w:r>
          </w:p>
        </w:tc>
        <w:tc>
          <w:tcPr>
            <w:tcW w:w="93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F6D13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3,780.00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A88BF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1,227,307.27</w:t>
            </w: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393D5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部分确认</w:t>
            </w: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5E851F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31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D8FCF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核减多申报的利息后，依据生效法律文书对债权予以确认</w:t>
            </w:r>
          </w:p>
        </w:tc>
      </w:tr>
      <w:tr w14:paraId="0FF52DD1">
        <w:tblPrEx>
          <w:tblCellMar>
            <w:top w:w="0" w:type="dxa"/>
            <w:left w:w="0" w:type="dxa"/>
            <w:bottom w:w="0" w:type="dxa"/>
            <w:right w:w="0" w:type="dxa"/>
          </w:tblCellMar>
        </w:tblPrEx>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4E89B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6DE24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泉州市医疗保障基金中心晋江分中心</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6EC65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3,281.60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FDCAA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5715E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F25F30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3,281.60</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E9BC4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3,281.60</w:t>
            </w: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F6B56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3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CB9CC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E4880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3,281.60</w:t>
            </w: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9C396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4068A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社保债权</w:t>
            </w:r>
          </w:p>
        </w:tc>
        <w:tc>
          <w:tcPr>
            <w:tcW w:w="231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F2D23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对债务人尚欠的医疗保险（公司承担）部分予以确认</w:t>
            </w:r>
          </w:p>
        </w:tc>
      </w:tr>
      <w:tr w14:paraId="3CA0D21A">
        <w:tblPrEx>
          <w:tblCellMar>
            <w:top w:w="0" w:type="dxa"/>
            <w:left w:w="0" w:type="dxa"/>
            <w:bottom w:w="0" w:type="dxa"/>
            <w:right w:w="0" w:type="dxa"/>
          </w:tblCellMar>
        </w:tblPrEx>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76BE1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DE934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泉州市医疗保障基金中心晋江分中心</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C5B222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820.40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34CFB0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27C68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FE94C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820.40</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98C8F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820.40</w:t>
            </w: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44819B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3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2CEFF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DC40E9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820.40</w:t>
            </w: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7C238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6ECDE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职工债权</w:t>
            </w:r>
          </w:p>
        </w:tc>
        <w:tc>
          <w:tcPr>
            <w:tcW w:w="231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2D1C6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对债务人尚欠的医疗保险（个人承担）部分予以确认</w:t>
            </w:r>
          </w:p>
        </w:tc>
      </w:tr>
      <w:tr w14:paraId="67CE45FA">
        <w:tblPrEx>
          <w:tblCellMar>
            <w:top w:w="0" w:type="dxa"/>
            <w:left w:w="0" w:type="dxa"/>
            <w:bottom w:w="0" w:type="dxa"/>
            <w:right w:w="0" w:type="dxa"/>
          </w:tblCellMar>
        </w:tblPrEx>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682B2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E4476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仲利国际融资租赁有限公司</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E5F65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735,200.00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D215FF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15585E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1B5BA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735,200.00</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679F1D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735,200.00</w:t>
            </w: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398B2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3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0E77DB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703307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735,200.00</w:t>
            </w: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5FFCF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D535E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31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8CF8E7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依据生效法律文书对债权予以确认</w:t>
            </w:r>
          </w:p>
        </w:tc>
      </w:tr>
      <w:tr w14:paraId="12DB39C5">
        <w:tblPrEx>
          <w:tblCellMar>
            <w:top w:w="0" w:type="dxa"/>
            <w:left w:w="0" w:type="dxa"/>
            <w:bottom w:w="0" w:type="dxa"/>
            <w:right w:w="0" w:type="dxa"/>
          </w:tblCellMar>
        </w:tblPrEx>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A587B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6710E3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王天来</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43B86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39,872.00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66CE1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BE722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EC59C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39,872.00</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6D9D1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39,872.00</w:t>
            </w: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2344EA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3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A56459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86B11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39,872.00</w:t>
            </w: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FEA0E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AF875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31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69437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依据生效法律文书对债权予以确认</w:t>
            </w:r>
          </w:p>
        </w:tc>
      </w:tr>
      <w:tr w14:paraId="7662F662">
        <w:tblPrEx>
          <w:tblCellMar>
            <w:top w:w="0" w:type="dxa"/>
            <w:left w:w="0" w:type="dxa"/>
            <w:bottom w:w="0" w:type="dxa"/>
            <w:right w:w="0" w:type="dxa"/>
          </w:tblCellMar>
        </w:tblPrEx>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CF1D97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E4901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福建泉州牛斯顿鞋服有限公司</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D6080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F28C3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15,147.67</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DC06E0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92A0B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95,147.67</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A044F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80,000.00</w:t>
            </w: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575AE9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14,636.50</w:t>
            </w:r>
          </w:p>
        </w:tc>
        <w:tc>
          <w:tcPr>
            <w:tcW w:w="93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9D5D5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E7574C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94,636.50</w:t>
            </w: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6E0789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部分确认</w:t>
            </w: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392AB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31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A61122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核减多申报的利息后，依据生效法律文书对债权予以确认</w:t>
            </w:r>
          </w:p>
        </w:tc>
      </w:tr>
      <w:tr w14:paraId="4375E395">
        <w:tblPrEx>
          <w:tblCellMar>
            <w:top w:w="0" w:type="dxa"/>
            <w:left w:w="0" w:type="dxa"/>
            <w:bottom w:w="0" w:type="dxa"/>
            <w:right w:w="0" w:type="dxa"/>
          </w:tblCellMar>
        </w:tblPrEx>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A7094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DFD771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晋江市人民法院</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6C716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58,558.50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99D80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9F4B3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1E7AEF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58,558.50</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1256A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58,558.50</w:t>
            </w: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BBD69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3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B49C5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69AF8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58,558.50</w:t>
            </w: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C7CDC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CA967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普通债权（劣后清偿）</w:t>
            </w:r>
          </w:p>
        </w:tc>
        <w:tc>
          <w:tcPr>
            <w:tcW w:w="231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D480A2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对债务人尚欠的案件受理费、执行申请书予以确认，该债权具有行政性质，故劣后于其他普通债权清偿</w:t>
            </w:r>
          </w:p>
        </w:tc>
      </w:tr>
      <w:tr w14:paraId="25DEC057">
        <w:tblPrEx>
          <w:tblCellMar>
            <w:top w:w="0" w:type="dxa"/>
            <w:left w:w="0" w:type="dxa"/>
            <w:bottom w:w="0" w:type="dxa"/>
            <w:right w:w="0" w:type="dxa"/>
          </w:tblCellMar>
        </w:tblPrEx>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49C87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7-1</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607AE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中国农业银行股份有限公司晋江市支行</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AC37E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950,000.00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DE80D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235,187.59</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E51C7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0C8FD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1,185,187.59</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148970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950,000.00</w:t>
            </w: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CBC6A8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235,187.59</w:t>
            </w:r>
          </w:p>
        </w:tc>
        <w:tc>
          <w:tcPr>
            <w:tcW w:w="93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34D076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3D712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1,185,187.59</w:t>
            </w: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D6AB5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DF3DE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31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FC018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依据生效法律文书对债权予以确认</w:t>
            </w:r>
          </w:p>
        </w:tc>
      </w:tr>
      <w:tr w14:paraId="6081F150">
        <w:tblPrEx>
          <w:tblCellMar>
            <w:top w:w="0" w:type="dxa"/>
            <w:left w:w="0" w:type="dxa"/>
            <w:bottom w:w="0" w:type="dxa"/>
            <w:right w:w="0" w:type="dxa"/>
          </w:tblCellMar>
        </w:tblPrEx>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869BB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7-2</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231BE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中国农业银行股份有限公司晋江市支行</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7BB14F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71DEA3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153,116.25</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30123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F4441E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153,116.25</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EF19C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AB10E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153,116.25</w:t>
            </w:r>
          </w:p>
        </w:tc>
        <w:tc>
          <w:tcPr>
            <w:tcW w:w="93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4598F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BDF0C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153,116.25</w:t>
            </w: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3899D7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F9501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劣后债权</w:t>
            </w:r>
          </w:p>
        </w:tc>
        <w:tc>
          <w:tcPr>
            <w:tcW w:w="231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5F0A2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依据生效法律文书对迟延履行期间的加倍债务利息予以确认，该债权具有惩罚性质，故劣后于其他普通债权清偿</w:t>
            </w:r>
          </w:p>
        </w:tc>
      </w:tr>
      <w:tr w14:paraId="42A73F8E">
        <w:tblPrEx>
          <w:tblCellMar>
            <w:top w:w="0" w:type="dxa"/>
            <w:left w:w="0" w:type="dxa"/>
            <w:bottom w:w="0" w:type="dxa"/>
            <w:right w:w="0" w:type="dxa"/>
          </w:tblCellMar>
        </w:tblPrEx>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84D66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F5B32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中国工商银行股份有限公司晋江分行</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5A9D9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564,680.52</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E02D3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128,600.32</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DBC97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E5B9B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693,280.84</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32AD3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564,680.52</w:t>
            </w: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494B57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128,600.32</w:t>
            </w:r>
          </w:p>
        </w:tc>
        <w:tc>
          <w:tcPr>
            <w:tcW w:w="93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B334C6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2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DC4F2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693,280.84</w:t>
            </w: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77BC9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0C0C2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31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10858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依据生效法律文书对债权予以确认</w:t>
            </w:r>
          </w:p>
        </w:tc>
      </w:tr>
      <w:bookmarkEnd w:id="1"/>
      <w:bookmarkEnd w:id="2"/>
      <w:bookmarkEnd w:id="3"/>
      <w:bookmarkEnd w:id="4"/>
    </w:tbl>
    <w:p w14:paraId="268CBC3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right"/>
        <w:textAlignment w:val="auto"/>
        <w:rPr>
          <w:rFonts w:hint="eastAsia" w:ascii="仿宋" w:hAnsi="仿宋" w:eastAsia="仿宋" w:cs="仿宋"/>
          <w:color w:val="auto"/>
          <w:sz w:val="28"/>
          <w:szCs w:val="28"/>
          <w:highlight w:val="none"/>
          <w:lang w:val="en-US" w:eastAsia="zh-CN"/>
        </w:rPr>
      </w:pPr>
    </w:p>
    <w:p w14:paraId="46FD4014">
      <w:pPr>
        <w:numPr>
          <w:ilvl w:val="0"/>
          <w:numId w:val="0"/>
        </w:numPr>
        <w:spacing w:line="40" w:lineRule="atLeast"/>
        <w:ind w:firstLine="560" w:firstLineChars="200"/>
        <w:rPr>
          <w:rFonts w:hint="eastAsia" w:ascii="仿宋" w:hAnsi="仿宋" w:eastAsia="仿宋" w:cs="仿宋"/>
          <w:color w:val="auto"/>
          <w:sz w:val="28"/>
          <w:szCs w:val="28"/>
          <w:highlight w:val="none"/>
          <w:lang w:val="en-US" w:eastAsia="zh-CN"/>
        </w:rPr>
      </w:pPr>
    </w:p>
    <w:p w14:paraId="48B9665F">
      <w:pPr>
        <w:numPr>
          <w:ilvl w:val="0"/>
          <w:numId w:val="0"/>
        </w:numPr>
        <w:spacing w:line="40" w:lineRule="atLeast"/>
        <w:ind w:firstLine="560" w:firstLineChars="200"/>
        <w:rPr>
          <w:rFonts w:hint="eastAsia" w:ascii="仿宋" w:hAnsi="仿宋" w:eastAsia="仿宋" w:cs="仿宋"/>
          <w:color w:val="auto"/>
          <w:sz w:val="28"/>
          <w:szCs w:val="28"/>
          <w:highlight w:val="none"/>
          <w:lang w:val="en-US" w:eastAsia="zh-CN"/>
        </w:rPr>
      </w:pPr>
    </w:p>
    <w:p w14:paraId="12223C78">
      <w:pPr>
        <w:numPr>
          <w:ilvl w:val="0"/>
          <w:numId w:val="0"/>
        </w:numPr>
        <w:spacing w:line="40" w:lineRule="atLeast"/>
        <w:ind w:firstLine="560" w:firstLineChars="200"/>
        <w:rPr>
          <w:rFonts w:hint="eastAsia" w:ascii="仿宋" w:hAnsi="仿宋" w:eastAsia="仿宋" w:cs="仿宋"/>
          <w:color w:val="auto"/>
          <w:sz w:val="28"/>
          <w:szCs w:val="28"/>
          <w:highlight w:val="none"/>
          <w:lang w:val="en-US" w:eastAsia="zh-CN"/>
        </w:rPr>
      </w:pPr>
    </w:p>
    <w:p w14:paraId="21E03B57">
      <w:pPr>
        <w:jc w:val="center"/>
        <w:rPr>
          <w:rFonts w:hint="eastAsia" w:ascii="仿宋" w:hAnsi="仿宋" w:eastAsia="仿宋" w:cs="仿宋"/>
          <w:b/>
          <w:bCs/>
          <w:color w:val="auto"/>
          <w:sz w:val="36"/>
          <w:szCs w:val="36"/>
          <w:lang w:val="en-US" w:eastAsia="zh-CN"/>
        </w:rPr>
      </w:pPr>
    </w:p>
    <w:p w14:paraId="0907F9E5">
      <w:pPr>
        <w:jc w:val="center"/>
        <w:rPr>
          <w:rFonts w:hint="eastAsia" w:ascii="仿宋" w:hAnsi="仿宋" w:eastAsia="仿宋" w:cs="仿宋"/>
          <w:b/>
          <w:bCs/>
          <w:color w:val="auto"/>
          <w:sz w:val="36"/>
          <w:szCs w:val="36"/>
          <w:lang w:val="en-US" w:eastAsia="zh-CN"/>
        </w:rPr>
      </w:pPr>
    </w:p>
    <w:p w14:paraId="07B65E38">
      <w:pPr>
        <w:jc w:val="center"/>
        <w:rPr>
          <w:rFonts w:hint="eastAsia" w:ascii="仿宋" w:hAnsi="仿宋" w:eastAsia="仿宋" w:cs="仿宋"/>
          <w:b/>
          <w:bCs/>
          <w:color w:val="auto"/>
          <w:sz w:val="36"/>
          <w:szCs w:val="36"/>
          <w:lang w:val="en-US" w:eastAsia="zh-CN"/>
        </w:rPr>
      </w:pPr>
    </w:p>
    <w:p w14:paraId="699E1395">
      <w:pPr>
        <w:jc w:val="center"/>
        <w:rPr>
          <w:rFonts w:hint="eastAsia" w:ascii="仿宋" w:hAnsi="仿宋" w:eastAsia="仿宋" w:cs="仿宋"/>
          <w:b/>
          <w:bCs/>
          <w:color w:val="auto"/>
          <w:sz w:val="36"/>
          <w:szCs w:val="36"/>
          <w:lang w:val="en-US" w:eastAsia="zh-CN"/>
        </w:rPr>
      </w:pPr>
    </w:p>
    <w:p w14:paraId="73503963">
      <w:pPr>
        <w:jc w:val="center"/>
        <w:rPr>
          <w:rFonts w:hint="eastAsia" w:ascii="仿宋" w:hAnsi="仿宋" w:eastAsia="仿宋" w:cs="仿宋"/>
          <w:b/>
          <w:bCs/>
          <w:color w:val="auto"/>
          <w:sz w:val="36"/>
          <w:szCs w:val="36"/>
          <w:lang w:val="en-US" w:eastAsia="zh-CN"/>
        </w:rPr>
      </w:pPr>
    </w:p>
    <w:p w14:paraId="23248915">
      <w:pPr>
        <w:jc w:val="center"/>
        <w:rPr>
          <w:rFonts w:hint="eastAsia" w:ascii="仿宋" w:hAnsi="仿宋" w:eastAsia="仿宋" w:cs="仿宋"/>
          <w:b/>
          <w:bCs/>
          <w:color w:val="auto"/>
          <w:sz w:val="36"/>
          <w:szCs w:val="36"/>
          <w:lang w:val="en-US" w:eastAsia="zh-CN"/>
        </w:rPr>
      </w:pPr>
    </w:p>
    <w:p w14:paraId="65661DDB">
      <w:pPr>
        <w:jc w:val="center"/>
        <w:rPr>
          <w:rFonts w:hint="eastAsia" w:ascii="仿宋" w:hAnsi="仿宋" w:eastAsia="仿宋" w:cs="仿宋"/>
          <w:b/>
          <w:bCs/>
          <w:color w:val="auto"/>
          <w:sz w:val="36"/>
          <w:szCs w:val="36"/>
          <w:lang w:val="en-US" w:eastAsia="zh-CN"/>
        </w:rPr>
      </w:pPr>
    </w:p>
    <w:p w14:paraId="30D2C1EC">
      <w:pPr>
        <w:jc w:val="center"/>
        <w:rPr>
          <w:rFonts w:hint="eastAsia" w:ascii="仿宋" w:hAnsi="仿宋" w:eastAsia="仿宋" w:cs="仿宋"/>
          <w:b/>
          <w:bCs/>
          <w:color w:val="auto"/>
          <w:sz w:val="36"/>
          <w:szCs w:val="36"/>
          <w:lang w:val="en-US" w:eastAsia="zh-CN"/>
        </w:rPr>
      </w:pPr>
    </w:p>
    <w:p w14:paraId="4DE791FE">
      <w:pPr>
        <w:jc w:val="center"/>
        <w:rPr>
          <w:rFonts w:hint="eastAsia" w:ascii="仿宋" w:hAnsi="仿宋" w:eastAsia="仿宋" w:cs="仿宋"/>
          <w:b/>
          <w:bCs/>
          <w:color w:val="auto"/>
          <w:sz w:val="36"/>
          <w:szCs w:val="36"/>
          <w:lang w:val="en-US" w:eastAsia="zh-CN"/>
        </w:rPr>
      </w:pPr>
    </w:p>
    <w:p w14:paraId="5DACD515">
      <w:pPr>
        <w:jc w:val="center"/>
        <w:rPr>
          <w:rFonts w:hint="eastAsia" w:ascii="仿宋" w:hAnsi="仿宋" w:eastAsia="仿宋" w:cs="仿宋"/>
          <w:b/>
          <w:bCs/>
          <w:color w:val="auto"/>
          <w:sz w:val="36"/>
          <w:szCs w:val="36"/>
          <w:lang w:val="en-US" w:eastAsia="zh-CN"/>
        </w:rPr>
      </w:pPr>
    </w:p>
    <w:p w14:paraId="5A552EB9">
      <w:pPr>
        <w:jc w:val="center"/>
        <w:rPr>
          <w:rFonts w:hint="eastAsia" w:ascii="仿宋" w:hAnsi="仿宋" w:eastAsia="仿宋" w:cs="仿宋"/>
          <w:b/>
          <w:bCs/>
          <w:color w:val="auto"/>
          <w:sz w:val="36"/>
          <w:szCs w:val="36"/>
          <w:lang w:val="en-US" w:eastAsia="zh-CN"/>
        </w:rPr>
      </w:pPr>
    </w:p>
    <w:p w14:paraId="647D3EFF">
      <w:pPr>
        <w:numPr>
          <w:ilvl w:val="0"/>
          <w:numId w:val="0"/>
        </w:numPr>
        <w:spacing w:line="40" w:lineRule="atLeast"/>
        <w:rPr>
          <w:rFonts w:hint="default" w:ascii="仿宋" w:hAnsi="仿宋" w:eastAsia="仿宋" w:cs="仿宋"/>
          <w:color w:val="auto"/>
          <w:sz w:val="28"/>
          <w:szCs w:val="28"/>
          <w:highlight w:val="none"/>
          <w:lang w:val="en-US" w:eastAsia="zh-CN"/>
        </w:rPr>
      </w:pPr>
    </w:p>
    <w:sectPr>
      <w:pgSz w:w="16838" w:h="11906" w:orient="landscape"/>
      <w:pgMar w:top="1800" w:right="1043"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C229656-D0FF-43F6-8830-799A436A17E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script"/>
    <w:pitch w:val="default"/>
    <w:sig w:usb0="00000001" w:usb1="08000000" w:usb2="00000000" w:usb3="00000000" w:csb0="00040000" w:csb1="00000000"/>
    <w:embedRegular r:id="rId2" w:fontKey="{F4504B41-8DEB-4CB6-A706-FE2BF8B63855}"/>
  </w:font>
  <w:font w:name="仿宋">
    <w:panose1 w:val="02010609060101010101"/>
    <w:charset w:val="86"/>
    <w:family w:val="modern"/>
    <w:pitch w:val="default"/>
    <w:sig w:usb0="800002BF" w:usb1="38CF7CFA" w:usb2="00000016" w:usb3="00000000" w:csb0="00040001" w:csb1="00000000"/>
    <w:embedRegular r:id="rId3" w:fontKey="{FC2A85C3-AEE1-43A4-8D90-9082104C516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3FF7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E35336">
                          <w:pPr>
                            <w:pStyle w:val="3"/>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1E35336">
                    <w:pPr>
                      <w:pStyle w:val="3"/>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CD1D0">
    <w:pPr>
      <w:pStyle w:val="4"/>
      <w:pBdr>
        <w:bottom w:val="none" w:color="auto" w:sz="0" w:space="1"/>
      </w:pBdr>
      <w:jc w:val="center"/>
      <w:rPr>
        <w:rFonts w:hint="eastAsia"/>
        <w:b/>
        <w:bCs/>
        <w:sz w:val="15"/>
        <w:szCs w:val="21"/>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D6DE88"/>
    <w:multiLevelType w:val="singleLevel"/>
    <w:tmpl w:val="05D6DE88"/>
    <w:lvl w:ilvl="0" w:tentative="0">
      <w:start w:val="202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VjNzczNTJhZTE2N2I0ZmJlOThiYWU2YWI4OTRmYzYifQ=="/>
  </w:docVars>
  <w:rsids>
    <w:rsidRoot w:val="00000000"/>
    <w:rsid w:val="016F45ED"/>
    <w:rsid w:val="046B5540"/>
    <w:rsid w:val="0B407B61"/>
    <w:rsid w:val="0E7E478A"/>
    <w:rsid w:val="0FA95ED4"/>
    <w:rsid w:val="10765998"/>
    <w:rsid w:val="11140D0D"/>
    <w:rsid w:val="121216F1"/>
    <w:rsid w:val="12B20545"/>
    <w:rsid w:val="141F25E2"/>
    <w:rsid w:val="169D3553"/>
    <w:rsid w:val="1CB5415E"/>
    <w:rsid w:val="1F8F326C"/>
    <w:rsid w:val="2EF22236"/>
    <w:rsid w:val="37F0752F"/>
    <w:rsid w:val="3B187CBE"/>
    <w:rsid w:val="3BAB5641"/>
    <w:rsid w:val="3E3828EA"/>
    <w:rsid w:val="3E636CAD"/>
    <w:rsid w:val="40380489"/>
    <w:rsid w:val="42075BA1"/>
    <w:rsid w:val="47AA7AF2"/>
    <w:rsid w:val="492D0289"/>
    <w:rsid w:val="498A113A"/>
    <w:rsid w:val="49D24CE6"/>
    <w:rsid w:val="4B5E26A1"/>
    <w:rsid w:val="4D372FD8"/>
    <w:rsid w:val="527C1C93"/>
    <w:rsid w:val="542F2412"/>
    <w:rsid w:val="57B10631"/>
    <w:rsid w:val="594D6137"/>
    <w:rsid w:val="65905D2A"/>
    <w:rsid w:val="699C2983"/>
    <w:rsid w:val="6A7A2B04"/>
    <w:rsid w:val="6D8C142E"/>
    <w:rsid w:val="70875729"/>
    <w:rsid w:val="72B7318F"/>
    <w:rsid w:val="785E5813"/>
    <w:rsid w:val="79D56039"/>
    <w:rsid w:val="7A0D74F1"/>
    <w:rsid w:val="7A9E639B"/>
    <w:rsid w:val="7C4B60AF"/>
    <w:rsid w:val="7ED07CE9"/>
    <w:rsid w:val="EB77FB5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font01"/>
    <w:basedOn w:val="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5</Pages>
  <Words>804</Words>
  <Characters>882</Characters>
  <Lines>0</Lines>
  <Paragraphs>0</Paragraphs>
  <TotalTime>0</TotalTime>
  <ScaleCrop>false</ScaleCrop>
  <LinksUpToDate>false</LinksUpToDate>
  <CharactersWithSpaces>915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2018-10-10T19:01:00Z</dcterms:created>
  <dc:creator>小玲玲</dc:creator>
  <cp:lastModifiedBy>小玲玲</cp:lastModifiedBy>
  <cp:lastPrinted>2023-03-03T07:12:00Z</cp:lastPrinted>
  <dcterms:modified xsi:type="dcterms:W3CDTF">2026-11-04T11:27:55Z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2741FA52AD9943769FD01F02A095D080</vt:lpwstr>
  </property>
  <property fmtid="{D5CDD505-2E9C-101B-9397-08002B2CF9AE}" pid="4" name="KSOTemplateDocerSaveRecord">
    <vt:lpwstr>eyJoZGlkIjoiYjFjYmZhNzI0YjI0NWE0YmY2Njc0MWUxOTU5N2MwZDciLCJ1c2VySWQiOiIzNzgwMzQzNzgifQ==</vt:lpwstr>
  </property>
</Properties>
</file>