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EBF7B">
      <w:pPr>
        <w:spacing w:before="156" w:beforeLines="50" w:after="156" w:afterLines="50" w:line="360" w:lineRule="auto"/>
        <w:jc w:val="center"/>
        <w:outlineLvl w:val="0"/>
        <w:rPr>
          <w:rFonts w:hint="eastAsia" w:ascii="黑体" w:hAnsi="黑体" w:eastAsia="黑体" w:cs="黑体"/>
          <w:b w:val="0"/>
          <w:bCs w:val="0"/>
          <w:sz w:val="32"/>
          <w:szCs w:val="32"/>
          <w:highlight w:val="none"/>
        </w:rPr>
      </w:pP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重庆市璧山赋丰汽摩配件有限责任公司</w:t>
      </w:r>
      <w:r>
        <w:rPr>
          <w:rFonts w:hint="eastAsia" w:ascii="黑体" w:hAnsi="黑体" w:eastAsia="黑体" w:cs="黑体"/>
          <w:b w:val="0"/>
          <w:bCs w:val="0"/>
          <w:color w:val="000000" w:themeColor="text1"/>
          <w:sz w:val="32"/>
          <w:szCs w:val="32"/>
          <w:highlight w:val="none"/>
          <w:lang w:val="en-US" w:eastAsia="zh-Hans"/>
          <w14:textFill>
            <w14:solidFill>
              <w14:schemeClr w14:val="tx1"/>
            </w14:solidFill>
          </w14:textFill>
        </w:rPr>
        <w:t>破产清算案</w:t>
      </w:r>
    </w:p>
    <w:p w14:paraId="09FE7EF2">
      <w:pPr>
        <w:spacing w:before="156" w:beforeLines="50" w:after="156" w:afterLines="50" w:line="360" w:lineRule="auto"/>
        <w:jc w:val="center"/>
        <w:outlineLvl w:val="0"/>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债权人会议</w:t>
      </w:r>
      <w:r>
        <w:rPr>
          <w:rFonts w:hint="eastAsia" w:ascii="黑体" w:hAnsi="黑体" w:eastAsia="黑体" w:cs="黑体"/>
          <w:b w:val="0"/>
          <w:bCs w:val="0"/>
          <w:sz w:val="32"/>
          <w:szCs w:val="32"/>
          <w:highlight w:val="none"/>
          <w:lang w:val="en-US" w:eastAsia="zh-Hans"/>
        </w:rPr>
        <w:t>投票表决结果</w:t>
      </w:r>
      <w:r>
        <w:rPr>
          <w:rFonts w:hint="eastAsia" w:ascii="黑体" w:hAnsi="黑体" w:eastAsia="黑体" w:cs="黑体"/>
          <w:b w:val="0"/>
          <w:bCs w:val="0"/>
          <w:sz w:val="32"/>
          <w:szCs w:val="32"/>
          <w:highlight w:val="none"/>
        </w:rPr>
        <w:t>的报告</w:t>
      </w:r>
    </w:p>
    <w:p w14:paraId="393655BB">
      <w:pPr>
        <w:keepNext w:val="0"/>
        <w:keepLines w:val="0"/>
        <w:pageBreakBefore w:val="0"/>
        <w:widowControl w:val="0"/>
        <w:kinsoku/>
        <w:wordWrap/>
        <w:overflowPunct/>
        <w:topLinePunct w:val="0"/>
        <w:autoSpaceDE/>
        <w:autoSpaceDN/>
        <w:bidi w:val="0"/>
        <w:spacing w:line="560" w:lineRule="exact"/>
        <w:ind w:right="0"/>
        <w:jc w:val="right"/>
        <w:textAlignment w:val="auto"/>
        <w:outlineLvl w:val="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（202</w:t>
      </w: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璧山赋丰</w:t>
      </w:r>
      <w:r>
        <w:rPr>
          <w:rFonts w:hint="eastAsia" w:ascii="宋体" w:hAnsi="宋体" w:eastAsia="宋体" w:cs="宋体"/>
          <w:color w:val="000000" w:themeColor="text1"/>
          <w:sz w:val="24"/>
          <w:szCs w:val="24"/>
          <w:highlight w:val="none"/>
          <w14:textFill>
            <w14:solidFill>
              <w14:schemeClr w14:val="tx1"/>
            </w14:solidFill>
          </w14:textFill>
        </w:rPr>
        <w:t>破管字第</w:t>
      </w:r>
      <w:r>
        <w:rPr>
          <w:rFonts w:hint="eastAsia" w:ascii="宋体" w:hAnsi="宋体" w:cs="宋体"/>
          <w:color w:val="000000" w:themeColor="text1"/>
          <w:sz w:val="24"/>
          <w:szCs w:val="24"/>
          <w:highlight w:val="none"/>
          <w:lang w:val="en-US" w:eastAsia="zh-CN"/>
          <w14:textFill>
            <w14:solidFill>
              <w14:schemeClr w14:val="tx1"/>
            </w14:solidFill>
          </w14:textFill>
        </w:rPr>
        <w:t>15</w:t>
      </w:r>
      <w:r>
        <w:rPr>
          <w:rFonts w:hint="eastAsia" w:ascii="宋体" w:hAnsi="宋体" w:eastAsia="宋体" w:cs="宋体"/>
          <w:color w:val="000000" w:themeColor="text1"/>
          <w:sz w:val="24"/>
          <w:szCs w:val="24"/>
          <w:highlight w:val="none"/>
          <w14:textFill>
            <w14:solidFill>
              <w14:schemeClr w14:val="tx1"/>
            </w14:solidFill>
          </w14:textFill>
        </w:rPr>
        <w:t>号</w:t>
      </w:r>
    </w:p>
    <w:p w14:paraId="66137B3C">
      <w:pPr>
        <w:keepNext w:val="0"/>
        <w:keepLines w:val="0"/>
        <w:pageBreakBefore w:val="0"/>
        <w:widowControl w:val="0"/>
        <w:kinsoku/>
        <w:wordWrap/>
        <w:overflowPunct/>
        <w:topLinePunct w:val="0"/>
        <w:autoSpaceDE/>
        <w:autoSpaceDN/>
        <w:bidi w:val="0"/>
        <w:spacing w:before="0" w:line="560" w:lineRule="exact"/>
        <w:ind w:right="0"/>
        <w:textAlignment w:val="auto"/>
        <w:outlineLvl w:val="0"/>
        <w:rPr>
          <w:rFonts w:hint="eastAsia" w:ascii="宋体" w:hAnsi="宋体" w:eastAsia="宋体" w:cs="宋体"/>
          <w:b w:val="0"/>
          <w:bCs/>
          <w:color w:val="000000" w:themeColor="text1"/>
          <w:sz w:val="24"/>
          <w:szCs w:val="24"/>
          <w:highlight w:val="none"/>
          <w:lang w:eastAsia="zh-Hans"/>
          <w14:textFill>
            <w14:solidFill>
              <w14:schemeClr w14:val="tx1"/>
            </w14:solidFill>
          </w14:textFill>
        </w:rPr>
      </w:pPr>
      <w:r>
        <w:rPr>
          <w:rFonts w:hint="eastAsia" w:ascii="宋体" w:hAnsi="宋体" w:eastAsia="宋体" w:cs="宋体"/>
          <w:b w:val="0"/>
          <w:bCs/>
          <w:color w:val="000000" w:themeColor="text1"/>
          <w:sz w:val="24"/>
          <w:szCs w:val="24"/>
          <w:highlight w:val="none"/>
          <w:lang w:eastAsia="zh-Hans"/>
          <w14:textFill>
            <w14:solidFill>
              <w14:schemeClr w14:val="tx1"/>
            </w14:solidFill>
          </w14:textFill>
        </w:rPr>
        <w:t>重庆市</w:t>
      </w:r>
      <w:r>
        <w:rPr>
          <w:rFonts w:hint="eastAsia" w:ascii="宋体" w:hAnsi="宋体" w:eastAsia="宋体" w:cs="宋体"/>
          <w:b w:val="0"/>
          <w:bCs/>
          <w:color w:val="000000" w:themeColor="text1"/>
          <w:sz w:val="24"/>
          <w:szCs w:val="24"/>
          <w:highlight w:val="none"/>
          <w:lang w:val="en-US" w:eastAsia="zh-Hans"/>
          <w14:textFill>
            <w14:solidFill>
              <w14:schemeClr w14:val="tx1"/>
            </w14:solidFill>
          </w14:textFill>
        </w:rPr>
        <w:t>第五中级</w:t>
      </w:r>
      <w:r>
        <w:rPr>
          <w:rFonts w:hint="eastAsia" w:ascii="宋体" w:hAnsi="宋体" w:eastAsia="宋体" w:cs="宋体"/>
          <w:b w:val="0"/>
          <w:bCs/>
          <w:color w:val="000000" w:themeColor="text1"/>
          <w:sz w:val="24"/>
          <w:szCs w:val="24"/>
          <w:highlight w:val="none"/>
          <w:lang w:eastAsia="zh-Hans"/>
          <w14:textFill>
            <w14:solidFill>
              <w14:schemeClr w14:val="tx1"/>
            </w14:solidFill>
          </w14:textFill>
        </w:rPr>
        <w:t>人民法院</w:t>
      </w:r>
      <w:r>
        <w:rPr>
          <w:rFonts w:hint="eastAsia" w:ascii="宋体" w:hAnsi="宋体" w:cs="宋体"/>
          <w:b w:val="0"/>
          <w:bCs/>
          <w:color w:val="000000" w:themeColor="text1"/>
          <w:sz w:val="24"/>
          <w:szCs w:val="24"/>
          <w:highlight w:val="none"/>
          <w:lang w:eastAsia="zh-CN"/>
          <w14:textFill>
            <w14:solidFill>
              <w14:schemeClr w14:val="tx1"/>
            </w14:solidFill>
          </w14:textFill>
        </w:rPr>
        <w:t>、</w:t>
      </w:r>
      <w:r>
        <w:rPr>
          <w:rFonts w:hint="eastAsia" w:ascii="宋体" w:hAnsi="宋体" w:cs="宋体"/>
          <w:b w:val="0"/>
          <w:bCs/>
          <w:color w:val="000000" w:themeColor="text1"/>
          <w:sz w:val="24"/>
          <w:szCs w:val="24"/>
          <w:highlight w:val="none"/>
          <w:lang w:val="en-US" w:eastAsia="zh-CN"/>
          <w14:textFill>
            <w14:solidFill>
              <w14:schemeClr w14:val="tx1"/>
            </w14:solidFill>
          </w14:textFill>
        </w:rPr>
        <w:t>债权人</w:t>
      </w:r>
      <w:r>
        <w:rPr>
          <w:rFonts w:hint="eastAsia" w:ascii="宋体" w:hAnsi="宋体" w:eastAsia="宋体" w:cs="宋体"/>
          <w:b w:val="0"/>
          <w:bCs/>
          <w:color w:val="000000" w:themeColor="text1"/>
          <w:sz w:val="24"/>
          <w:szCs w:val="24"/>
          <w:highlight w:val="none"/>
          <w:lang w:eastAsia="zh-Hans"/>
          <w14:textFill>
            <w14:solidFill>
              <w14:schemeClr w14:val="tx1"/>
            </w14:solidFill>
          </w14:textFill>
        </w:rPr>
        <w:t>：</w:t>
      </w:r>
    </w:p>
    <w:p w14:paraId="39831D92">
      <w:pPr>
        <w:spacing w:line="560" w:lineRule="exact"/>
        <w:ind w:firstLine="480" w:firstLineChars="200"/>
        <w:rPr>
          <w:rFonts w:hint="eastAsia" w:ascii="宋体" w:hAnsi="宋体" w:eastAsia="宋体" w:cs="宋体"/>
          <w:sz w:val="24"/>
        </w:rPr>
      </w:pPr>
      <w:r>
        <w:rPr>
          <w:rFonts w:hint="eastAsia" w:ascii="宋体" w:hAnsi="宋体" w:eastAsia="宋体" w:cs="宋体"/>
          <w:sz w:val="24"/>
          <w:lang w:val="en-US" w:eastAsia="zh-CN"/>
        </w:rPr>
        <w:t>重庆市第五中级人民法院于2026年8月13日作出(2026)渝05破申372号《民事裁定书》，裁定受理申请人宝武环科武汉金属资源有限责任公司对被申请人重庆市璧山赋丰汽摩配件有限责任公司（以下简称“璧山赋丰公司”或“债务人”）的破产清算申请，并于2026年8月25日作出（2026）渝05破310号《决定书》，指定重庆瀛永律师事务所担任重庆市璧山赋丰汽摩配件有限责任公司管理人（以下简称“管理人”）。</w:t>
      </w:r>
    </w:p>
    <w:p w14:paraId="68124B86">
      <w:pPr>
        <w:keepNext w:val="0"/>
        <w:keepLines w:val="0"/>
        <w:pageBreakBefore w:val="0"/>
        <w:widowControl w:val="0"/>
        <w:kinsoku/>
        <w:wordWrap/>
        <w:overflowPunct/>
        <w:topLinePunct w:val="0"/>
        <w:autoSpaceDE/>
        <w:autoSpaceDN/>
        <w:bidi w:val="0"/>
        <w:spacing w:line="560" w:lineRule="exact"/>
        <w:ind w:right="0" w:firstLine="480" w:firstLineChars="200"/>
        <w:textAlignment w:val="auto"/>
        <w:rPr>
          <w:rFonts w:hint="eastAsia" w:ascii="宋体" w:hAnsi="宋体" w:eastAsia="宋体" w:cs="宋体"/>
          <w:color w:val="000000" w:themeColor="text1"/>
          <w:sz w:val="24"/>
          <w:szCs w:val="24"/>
          <w:highlight w:val="none"/>
          <w:lang w:eastAsia="zh-Hans"/>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经</w:t>
      </w:r>
      <w:r>
        <w:rPr>
          <w:rFonts w:hint="eastAsia" w:ascii="宋体" w:hAnsi="宋体" w:eastAsia="宋体" w:cs="宋体"/>
          <w:color w:val="000000" w:themeColor="text1"/>
          <w:sz w:val="24"/>
          <w:szCs w:val="24"/>
          <w:highlight w:val="none"/>
          <w14:textFill>
            <w14:solidFill>
              <w14:schemeClr w14:val="tx1"/>
            </w14:solidFill>
          </w14:textFill>
        </w:rPr>
        <w:t>五中院</w:t>
      </w:r>
      <w:r>
        <w:rPr>
          <w:rFonts w:hint="eastAsia" w:ascii="宋体" w:hAnsi="宋体" w:eastAsia="宋体" w:cs="宋体"/>
          <w:color w:val="000000" w:themeColor="text1"/>
          <w:sz w:val="24"/>
          <w:szCs w:val="24"/>
          <w:highlight w:val="none"/>
          <w:lang w:val="en-US" w:eastAsia="zh-Hans"/>
          <w14:textFill>
            <w14:solidFill>
              <w14:schemeClr w14:val="tx1"/>
            </w14:solidFill>
          </w14:textFill>
        </w:rPr>
        <w:t>确定</w:t>
      </w:r>
      <w:r>
        <w:rPr>
          <w:rFonts w:hint="eastAsia" w:ascii="宋体" w:hAnsi="宋体" w:cs="宋体"/>
          <w:color w:val="000000" w:themeColor="text1"/>
          <w:sz w:val="24"/>
          <w:szCs w:val="24"/>
          <w:highlight w:val="none"/>
          <w:lang w:val="en-US" w:eastAsia="zh-CN"/>
          <w14:textFill>
            <w14:solidFill>
              <w14:schemeClr w14:val="tx1"/>
            </w14:solidFill>
          </w14:textFill>
        </w:rPr>
        <w:t>，璧山赋丰公司</w:t>
      </w:r>
      <w:r>
        <w:rPr>
          <w:rFonts w:hint="eastAsia" w:ascii="宋体" w:hAnsi="宋体" w:eastAsia="宋体" w:cs="宋体"/>
          <w:color w:val="000000" w:themeColor="text1"/>
          <w:sz w:val="24"/>
          <w:szCs w:val="24"/>
          <w:highlight w:val="none"/>
          <w:lang w:val="en-US" w:eastAsia="zh-Hans"/>
          <w14:textFill>
            <w14:solidFill>
              <w14:schemeClr w14:val="tx1"/>
            </w14:solidFill>
          </w14:textFill>
        </w:rPr>
        <w:t>第一次债权人会议</w:t>
      </w:r>
      <w:r>
        <w:rPr>
          <w:rFonts w:hint="eastAsia" w:ascii="宋体" w:hAnsi="宋体" w:cs="宋体"/>
          <w:color w:val="000000" w:themeColor="text1"/>
          <w:sz w:val="24"/>
          <w:szCs w:val="24"/>
          <w:highlight w:val="none"/>
          <w:lang w:val="en-US" w:eastAsia="zh-CN"/>
          <w14:textFill>
            <w14:solidFill>
              <w14:schemeClr w14:val="tx1"/>
            </w14:solidFill>
          </w14:textFill>
        </w:rPr>
        <w:t>于2026年10月12日上午9：40</w:t>
      </w:r>
      <w:r>
        <w:rPr>
          <w:rFonts w:hint="eastAsia" w:ascii="宋体" w:hAnsi="宋体" w:eastAsia="宋体" w:cs="宋体"/>
          <w:color w:val="000000" w:themeColor="text1"/>
          <w:sz w:val="24"/>
          <w:szCs w:val="24"/>
          <w:highlight w:val="none"/>
          <w:lang w:val="en-US" w:eastAsia="zh-Hans"/>
          <w14:textFill>
            <w14:solidFill>
              <w14:schemeClr w14:val="tx1"/>
            </w14:solidFill>
          </w14:textFill>
        </w:rPr>
        <w:t>召开</w:t>
      </w:r>
      <w:r>
        <w:rPr>
          <w:rFonts w:hint="eastAsia" w:ascii="宋体" w:hAnsi="宋体" w:eastAsia="宋体" w:cs="宋体"/>
          <w:color w:val="000000" w:themeColor="text1"/>
          <w:sz w:val="24"/>
          <w:szCs w:val="24"/>
          <w:highlight w:val="none"/>
          <w:lang w:eastAsia="zh-Hans"/>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管理人现</w:t>
      </w:r>
      <w:r>
        <w:rPr>
          <w:rFonts w:hint="eastAsia" w:ascii="宋体" w:hAnsi="宋体" w:eastAsia="宋体" w:cs="宋体"/>
          <w:color w:val="000000" w:themeColor="text1"/>
          <w:sz w:val="24"/>
          <w:szCs w:val="24"/>
          <w:highlight w:val="none"/>
          <w:lang w:val="en-US" w:eastAsia="zh-Hans"/>
          <w14:textFill>
            <w14:solidFill>
              <w14:schemeClr w14:val="tx1"/>
            </w14:solidFill>
          </w14:textFill>
        </w:rPr>
        <w:t>就债权人会议投票表决结果</w:t>
      </w:r>
      <w:r>
        <w:rPr>
          <w:rFonts w:hint="eastAsia" w:ascii="宋体" w:hAnsi="宋体" w:eastAsia="宋体" w:cs="宋体"/>
          <w:color w:val="000000" w:themeColor="text1"/>
          <w:sz w:val="24"/>
          <w:szCs w:val="24"/>
          <w:highlight w:val="none"/>
          <w14:textFill>
            <w14:solidFill>
              <w14:schemeClr w14:val="tx1"/>
            </w14:solidFill>
          </w14:textFill>
        </w:rPr>
        <w:t>情况向</w:t>
      </w:r>
      <w:r>
        <w:rPr>
          <w:rFonts w:hint="eastAsia" w:ascii="宋体" w:hAnsi="宋体" w:eastAsia="宋体" w:cs="宋体"/>
          <w:color w:val="000000" w:themeColor="text1"/>
          <w:sz w:val="24"/>
          <w:szCs w:val="24"/>
          <w:highlight w:val="none"/>
          <w:lang w:val="en-US" w:eastAsia="zh-Hans"/>
          <w14:textFill>
            <w14:solidFill>
              <w14:schemeClr w14:val="tx1"/>
            </w14:solidFill>
          </w14:textFill>
        </w:rPr>
        <w:t>人民法院</w:t>
      </w:r>
      <w:r>
        <w:rPr>
          <w:rFonts w:hint="eastAsia" w:ascii="宋体" w:hAnsi="宋体" w:cs="宋体"/>
          <w:color w:val="000000" w:themeColor="text1"/>
          <w:sz w:val="24"/>
          <w:szCs w:val="24"/>
          <w:highlight w:val="none"/>
          <w:lang w:val="en-US" w:eastAsia="zh-CN"/>
          <w14:textFill>
            <w14:solidFill>
              <w14:schemeClr w14:val="tx1"/>
            </w14:solidFill>
          </w14:textFill>
        </w:rPr>
        <w:t>、债权人</w:t>
      </w:r>
      <w:r>
        <w:rPr>
          <w:rFonts w:hint="eastAsia" w:ascii="宋体" w:hAnsi="宋体" w:eastAsia="宋体" w:cs="宋体"/>
          <w:color w:val="000000" w:themeColor="text1"/>
          <w:sz w:val="24"/>
          <w:szCs w:val="24"/>
          <w:highlight w:val="none"/>
          <w14:textFill>
            <w14:solidFill>
              <w14:schemeClr w14:val="tx1"/>
            </w14:solidFill>
          </w14:textFill>
        </w:rPr>
        <w:t>报告如下：</w:t>
      </w:r>
    </w:p>
    <w:p w14:paraId="36EC7CF4">
      <w:pPr>
        <w:keepNext w:val="0"/>
        <w:keepLines w:val="0"/>
        <w:pageBreakBefore w:val="0"/>
        <w:widowControl w:val="0"/>
        <w:kinsoku/>
        <w:wordWrap/>
        <w:overflowPunct/>
        <w:topLinePunct w:val="0"/>
        <w:autoSpaceDE/>
        <w:autoSpaceDN/>
        <w:bidi w:val="0"/>
        <w:adjustRightInd w:val="0"/>
        <w:snapToGrid w:val="0"/>
        <w:spacing w:line="560" w:lineRule="exact"/>
        <w:ind w:right="0" w:firstLine="560" w:firstLineChars="0"/>
        <w:textAlignment w:val="auto"/>
        <w:rPr>
          <w:rFonts w:hint="eastAsia" w:ascii="宋体" w:hAnsi="宋体" w:eastAsia="宋体" w:cs="宋体"/>
          <w:b/>
          <w:bCs/>
          <w:kern w:val="0"/>
          <w:sz w:val="24"/>
          <w:szCs w:val="24"/>
          <w:highlight w:val="none"/>
          <w:lang w:val="en-US" w:eastAsia="zh-CN"/>
        </w:rPr>
      </w:pPr>
      <w:r>
        <w:rPr>
          <w:rFonts w:hint="eastAsia" w:ascii="宋体" w:hAnsi="宋体" w:eastAsia="宋体" w:cs="宋体"/>
          <w:b/>
          <w:bCs/>
          <w:kern w:val="0"/>
          <w:sz w:val="24"/>
          <w:szCs w:val="24"/>
          <w:highlight w:val="none"/>
          <w:lang w:val="en-US" w:eastAsia="zh-CN"/>
        </w:rPr>
        <w:t>一、重庆市璧山赋丰汽摩配件有限责任公司第一次债权人会议召开情况</w:t>
      </w:r>
    </w:p>
    <w:p w14:paraId="6CEC6209">
      <w:pPr>
        <w:keepNext w:val="0"/>
        <w:keepLines w:val="0"/>
        <w:pageBreakBefore w:val="0"/>
        <w:widowControl w:val="0"/>
        <w:kinsoku/>
        <w:wordWrap/>
        <w:overflowPunct/>
        <w:topLinePunct w:val="0"/>
        <w:autoSpaceDE/>
        <w:autoSpaceDN/>
        <w:bidi w:val="0"/>
        <w:adjustRightInd w:val="0"/>
        <w:snapToGrid w:val="0"/>
        <w:spacing w:line="560" w:lineRule="exact"/>
        <w:ind w:right="0" w:firstLine="560" w:firstLineChars="0"/>
        <w:textAlignment w:val="auto"/>
        <w:rPr>
          <w:rFonts w:hint="eastAsia" w:ascii="宋体" w:hAnsi="宋体" w:eastAsia="宋体" w:cs="宋体"/>
          <w:kern w:val="0"/>
          <w:sz w:val="24"/>
          <w:szCs w:val="24"/>
          <w:highlight w:val="none"/>
          <w:lang w:val="en-US" w:eastAsia="zh-CN"/>
        </w:rPr>
      </w:pPr>
      <w:r>
        <w:rPr>
          <w:rFonts w:hint="eastAsia" w:ascii="宋体" w:hAnsi="宋体" w:cs="宋体"/>
          <w:color w:val="000000" w:themeColor="text1"/>
          <w:sz w:val="24"/>
          <w:szCs w:val="24"/>
          <w:highlight w:val="none"/>
          <w:lang w:val="en-US" w:eastAsia="zh-CN"/>
          <w14:textFill>
            <w14:solidFill>
              <w14:schemeClr w14:val="tx1"/>
            </w14:solidFill>
          </w14:textFill>
        </w:rPr>
        <w:t>璧山赋丰</w:t>
      </w:r>
      <w:r>
        <w:rPr>
          <w:rFonts w:hint="eastAsia" w:ascii="宋体" w:hAnsi="宋体" w:eastAsia="宋体" w:cs="宋体"/>
          <w:kern w:val="0"/>
          <w:sz w:val="24"/>
          <w:szCs w:val="24"/>
          <w:highlight w:val="none"/>
          <w:lang w:val="en-US" w:eastAsia="zh-CN"/>
        </w:rPr>
        <w:t>第一次债权人会议在</w:t>
      </w:r>
      <w:r>
        <w:rPr>
          <w:rFonts w:hint="eastAsia" w:ascii="宋体" w:hAnsi="宋体" w:eastAsia="宋体" w:cs="宋体"/>
          <w:color w:val="000000" w:themeColor="text1"/>
          <w:sz w:val="24"/>
          <w:szCs w:val="24"/>
          <w:highlight w:val="none"/>
          <w:lang w:val="en-US" w:eastAsia="zh-CN"/>
          <w14:textFill>
            <w14:solidFill>
              <w14:schemeClr w14:val="tx1"/>
            </w14:solidFill>
          </w14:textFill>
        </w:rPr>
        <w:t>五中</w:t>
      </w:r>
      <w:r>
        <w:rPr>
          <w:rFonts w:hint="eastAsia" w:ascii="宋体" w:hAnsi="宋体" w:eastAsia="宋体" w:cs="宋体"/>
          <w:color w:val="000000" w:themeColor="text1"/>
          <w:sz w:val="24"/>
          <w:szCs w:val="24"/>
          <w:highlight w:val="none"/>
          <w14:textFill>
            <w14:solidFill>
              <w14:schemeClr w14:val="tx1"/>
            </w14:solidFill>
          </w14:textFill>
        </w:rPr>
        <w:t>院</w:t>
      </w:r>
      <w:r>
        <w:rPr>
          <w:rFonts w:hint="eastAsia" w:ascii="宋体" w:hAnsi="宋体" w:eastAsia="宋体" w:cs="宋体"/>
          <w:kern w:val="0"/>
          <w:sz w:val="24"/>
          <w:szCs w:val="24"/>
          <w:highlight w:val="none"/>
          <w:lang w:val="en-US" w:eastAsia="zh-CN"/>
        </w:rPr>
        <w:t>的主持下，在</w:t>
      </w:r>
      <w:r>
        <w:rPr>
          <w:rFonts w:hint="eastAsia" w:ascii="宋体" w:hAnsi="宋体" w:eastAsia="宋体" w:cs="宋体"/>
          <w:kern w:val="0"/>
          <w:sz w:val="24"/>
          <w:szCs w:val="24"/>
          <w:highlight w:val="none"/>
          <w:lang w:val="en-US" w:eastAsia="zh-Hans"/>
        </w:rPr>
        <w:t>重庆破产法庭</w:t>
      </w:r>
      <w:r>
        <w:rPr>
          <w:rFonts w:hint="eastAsia" w:ascii="宋体" w:hAnsi="宋体" w:cs="宋体"/>
          <w:kern w:val="0"/>
          <w:sz w:val="24"/>
          <w:szCs w:val="24"/>
          <w:highlight w:val="none"/>
          <w:lang w:val="en-US" w:eastAsia="zh-CN"/>
        </w:rPr>
        <w:t>、钉钉</w:t>
      </w:r>
      <w:r>
        <w:rPr>
          <w:rFonts w:hint="eastAsia" w:ascii="宋体" w:hAnsi="宋体" w:eastAsia="宋体" w:cs="宋体"/>
          <w:kern w:val="0"/>
          <w:sz w:val="24"/>
          <w:szCs w:val="24"/>
          <w:highlight w:val="none"/>
          <w:lang w:val="en-US" w:eastAsia="zh-Hans"/>
        </w:rPr>
        <w:t>网络会议</w:t>
      </w:r>
      <w:r>
        <w:rPr>
          <w:rFonts w:hint="eastAsia" w:ascii="宋体" w:hAnsi="宋体" w:eastAsia="宋体" w:cs="宋体"/>
          <w:kern w:val="0"/>
          <w:sz w:val="24"/>
          <w:szCs w:val="24"/>
          <w:highlight w:val="none"/>
          <w:lang w:val="en-US" w:eastAsia="zh-CN"/>
        </w:rPr>
        <w:t>同步召开</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lang w:val="en-US" w:eastAsia="zh-CN"/>
        </w:rPr>
        <w:t>管理人、债权人会议主席及债权人出席了本次会议</w:t>
      </w:r>
      <w:r>
        <w:rPr>
          <w:rFonts w:hint="eastAsia" w:ascii="宋体" w:hAnsi="宋体" w:eastAsia="宋体" w:cs="宋体"/>
          <w:kern w:val="0"/>
          <w:sz w:val="24"/>
          <w:szCs w:val="24"/>
          <w:highlight w:val="none"/>
          <w:lang w:val="en-US" w:eastAsia="zh-CN"/>
        </w:rPr>
        <w:t>。</w:t>
      </w:r>
    </w:p>
    <w:p w14:paraId="30773FD7">
      <w:pPr>
        <w:keepNext w:val="0"/>
        <w:keepLines w:val="0"/>
        <w:pageBreakBefore w:val="0"/>
        <w:widowControl w:val="0"/>
        <w:kinsoku/>
        <w:wordWrap/>
        <w:overflowPunct/>
        <w:topLinePunct w:val="0"/>
        <w:autoSpaceDE/>
        <w:autoSpaceDN/>
        <w:bidi w:val="0"/>
        <w:adjustRightInd w:val="0"/>
        <w:snapToGrid w:val="0"/>
        <w:spacing w:line="560" w:lineRule="exact"/>
        <w:ind w:right="0" w:firstLine="560" w:firstLineChars="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本次会议的主要内容：管理人作《管理人执行职务工作报告》《关于重庆市璧山赋丰汽摩配件有限责任公司财产状况的报告》《关于提请债权人会议核查债权的报告》</w:t>
      </w:r>
      <w:r>
        <w:rPr>
          <w:rFonts w:hint="eastAsia" w:ascii="宋体" w:hAnsi="宋体" w:eastAsia="宋体" w:cs="宋体"/>
          <w:sz w:val="24"/>
          <w:szCs w:val="24"/>
          <w:highlight w:val="none"/>
        </w:rPr>
        <w:t>《关于提请债权人会议审议财产管理方案的报告》《关于提请债权人会议审议破产财产变价方案的报告》《关于提请债权人会议审议破产财产分配方案的报告》</w:t>
      </w:r>
      <w:r>
        <w:rPr>
          <w:rFonts w:hint="eastAsia" w:ascii="宋体" w:hAnsi="宋体" w:eastAsia="宋体" w:cs="宋体"/>
          <w:kern w:val="0"/>
          <w:sz w:val="24"/>
          <w:szCs w:val="24"/>
          <w:highlight w:val="none"/>
          <w:lang w:val="en-US" w:eastAsia="zh-CN"/>
        </w:rPr>
        <w:t>《关于提请审议以非现场方式召开债权人会议的报告》《关于提请债权人会议审议管理人报酬方案的报告》</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并回答债权人的询问。</w:t>
      </w:r>
    </w:p>
    <w:p w14:paraId="3D580C5B">
      <w:pPr>
        <w:keepNext w:val="0"/>
        <w:keepLines w:val="0"/>
        <w:pageBreakBefore w:val="0"/>
        <w:widowControl w:val="0"/>
        <w:kinsoku/>
        <w:wordWrap/>
        <w:overflowPunct/>
        <w:topLinePunct w:val="0"/>
        <w:autoSpaceDE/>
        <w:autoSpaceDN/>
        <w:bidi w:val="0"/>
        <w:adjustRightInd w:val="0"/>
        <w:snapToGrid w:val="0"/>
        <w:spacing w:line="560" w:lineRule="exact"/>
        <w:ind w:right="0" w:firstLine="560" w:firstLineChars="0"/>
        <w:textAlignment w:val="auto"/>
        <w:rPr>
          <w:rFonts w:hint="eastAsia" w:ascii="宋体" w:hAnsi="宋体" w:eastAsia="宋体" w:cs="宋体"/>
          <w:b/>
          <w:bCs/>
          <w:kern w:val="0"/>
          <w:sz w:val="24"/>
          <w:szCs w:val="24"/>
          <w:highlight w:val="none"/>
          <w:lang w:val="en-US" w:eastAsia="zh-CN"/>
        </w:rPr>
      </w:pPr>
      <w:r>
        <w:rPr>
          <w:rFonts w:hint="eastAsia" w:ascii="宋体" w:hAnsi="宋体" w:eastAsia="宋体" w:cs="宋体"/>
          <w:b/>
          <w:bCs/>
          <w:kern w:val="0"/>
          <w:sz w:val="24"/>
          <w:szCs w:val="24"/>
          <w:highlight w:val="none"/>
          <w:lang w:val="en-US" w:eastAsia="zh-CN"/>
        </w:rPr>
        <w:t>二、本次债权人会议的表决结果</w:t>
      </w:r>
    </w:p>
    <w:p w14:paraId="75126E41">
      <w:pPr>
        <w:keepNext w:val="0"/>
        <w:keepLines w:val="0"/>
        <w:pageBreakBefore w:val="0"/>
        <w:widowControl w:val="0"/>
        <w:kinsoku/>
        <w:wordWrap/>
        <w:overflowPunct/>
        <w:topLinePunct w:val="0"/>
        <w:autoSpaceDE/>
        <w:autoSpaceDN/>
        <w:bidi w:val="0"/>
        <w:spacing w:line="560" w:lineRule="exact"/>
        <w:ind w:right="0"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kern w:val="0"/>
          <w:sz w:val="24"/>
          <w:szCs w:val="24"/>
          <w:highlight w:val="none"/>
          <w:lang w:val="en-US" w:eastAsia="zh-CN"/>
        </w:rPr>
        <w:t>本次债权人会议应到债权人2家，代表无财产担保债权总额1</w:t>
      </w:r>
      <w:r>
        <w:rPr>
          <w:rFonts w:hint="default" w:ascii="宋体" w:hAnsi="宋体" w:cs="宋体"/>
          <w:kern w:val="0"/>
          <w:sz w:val="24"/>
          <w:szCs w:val="24"/>
          <w:highlight w:val="none"/>
          <w:lang w:val="en-US" w:eastAsia="zh-CN"/>
        </w:rPr>
        <w:t>,</w:t>
      </w:r>
      <w:bookmarkStart w:id="0" w:name="_GoBack"/>
      <w:bookmarkEnd w:id="0"/>
      <w:r>
        <w:rPr>
          <w:rFonts w:hint="eastAsia" w:ascii="宋体" w:hAnsi="宋体" w:eastAsia="宋体" w:cs="宋体"/>
          <w:kern w:val="0"/>
          <w:sz w:val="24"/>
          <w:szCs w:val="24"/>
          <w:highlight w:val="none"/>
          <w:lang w:val="en-US" w:eastAsia="zh-CN"/>
        </w:rPr>
        <w:t>106,961.20元。管理人就表决结果统计如下：</w:t>
      </w:r>
    </w:p>
    <w:p w14:paraId="4A858C6F">
      <w:pPr>
        <w:keepNext w:val="0"/>
        <w:keepLines w:val="0"/>
        <w:pageBreakBefore w:val="0"/>
        <w:widowControl w:val="0"/>
        <w:kinsoku/>
        <w:wordWrap/>
        <w:overflowPunct/>
        <w:topLinePunct w:val="0"/>
        <w:autoSpaceDE/>
        <w:autoSpaceDN/>
        <w:bidi w:val="0"/>
        <w:spacing w:line="560" w:lineRule="exact"/>
        <w:ind w:right="0" w:firstLine="480" w:firstLineChars="200"/>
        <w:textAlignment w:val="auto"/>
        <w:outlineLvl w:val="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lang w:eastAsia="zh-CN"/>
          <w14:textFill>
            <w14:solidFill>
              <w14:schemeClr w14:val="tx1"/>
            </w14:solidFill>
          </w14:textFill>
        </w:rPr>
        <w:t>（</w:t>
      </w:r>
      <w:r>
        <w:rPr>
          <w:rFonts w:hint="eastAsia" w:ascii="宋体" w:hAnsi="宋体" w:cs="宋体"/>
          <w:b/>
          <w:bCs/>
          <w:color w:val="000000" w:themeColor="text1"/>
          <w:sz w:val="24"/>
          <w:szCs w:val="24"/>
          <w:highlight w:val="none"/>
          <w:lang w:val="en-US" w:eastAsia="zh-CN"/>
          <w14:textFill>
            <w14:solidFill>
              <w14:schemeClr w14:val="tx1"/>
            </w14:solidFill>
          </w14:textFill>
        </w:rPr>
        <w:t>一</w:t>
      </w:r>
      <w:r>
        <w:rPr>
          <w:rFonts w:hint="eastAsia" w:ascii="宋体" w:hAnsi="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14:textFill>
            <w14:solidFill>
              <w14:schemeClr w14:val="tx1"/>
            </w14:solidFill>
          </w14:textFill>
        </w:rPr>
        <w:t>《财产管理方案》</w:t>
      </w:r>
    </w:p>
    <w:p w14:paraId="4F58279A">
      <w:pPr>
        <w:keepNext w:val="0"/>
        <w:keepLines w:val="0"/>
        <w:pageBreakBefore w:val="0"/>
        <w:widowControl w:val="0"/>
        <w:kinsoku/>
        <w:wordWrap/>
        <w:overflowPunct/>
        <w:topLinePunct w:val="0"/>
        <w:autoSpaceDE/>
        <w:autoSpaceDN/>
        <w:bidi w:val="0"/>
        <w:spacing w:line="560" w:lineRule="exact"/>
        <w:ind w:right="0"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b w:val="0"/>
          <w:bCs w:val="0"/>
          <w:kern w:val="0"/>
          <w:sz w:val="24"/>
          <w:szCs w:val="24"/>
          <w:highlight w:val="none"/>
          <w:lang w:val="en-US" w:eastAsia="zh-CN"/>
        </w:rPr>
        <w:t>出席会议的对</w:t>
      </w:r>
      <w:r>
        <w:rPr>
          <w:rFonts w:hint="eastAsia" w:ascii="宋体" w:hAnsi="宋体" w:eastAsia="宋体" w:cs="宋体"/>
          <w:b w:val="0"/>
          <w:bCs w:val="0"/>
          <w:color w:val="000000" w:themeColor="text1"/>
          <w:sz w:val="24"/>
          <w:szCs w:val="24"/>
          <w:highlight w:val="none"/>
          <w14:textFill>
            <w14:solidFill>
              <w14:schemeClr w14:val="tx1"/>
            </w14:solidFill>
          </w14:textFill>
        </w:rPr>
        <w:t>《财产管理方案》</w:t>
      </w:r>
      <w:r>
        <w:rPr>
          <w:rFonts w:hint="eastAsia" w:ascii="宋体" w:hAnsi="宋体" w:cs="宋体"/>
          <w:b w:val="0"/>
          <w:bCs w:val="0"/>
          <w:kern w:val="0"/>
          <w:sz w:val="24"/>
          <w:szCs w:val="24"/>
          <w:highlight w:val="none"/>
          <w:lang w:val="en-US" w:eastAsia="zh-CN"/>
        </w:rPr>
        <w:t>有表决权的债权人共2家，其中同意该方案</w:t>
      </w:r>
      <w:r>
        <w:rPr>
          <w:rFonts w:hint="eastAsia" w:ascii="宋体" w:hAnsi="宋体" w:cs="宋体"/>
          <w:kern w:val="0"/>
          <w:sz w:val="24"/>
          <w:szCs w:val="24"/>
          <w:highlight w:val="none"/>
          <w:lang w:val="en-US" w:eastAsia="zh-CN"/>
        </w:rPr>
        <w:t>的</w:t>
      </w:r>
      <w:r>
        <w:rPr>
          <w:rFonts w:hint="eastAsia" w:ascii="宋体" w:hAnsi="宋体" w:cs="宋体"/>
          <w:sz w:val="24"/>
          <w:szCs w:val="24"/>
          <w:highlight w:val="none"/>
          <w:lang w:val="en-US" w:eastAsia="zh-CN"/>
        </w:rPr>
        <w:t>债权人共2家</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占</w:t>
      </w:r>
      <w:r>
        <w:rPr>
          <w:rFonts w:hint="eastAsia" w:ascii="宋体" w:hAnsi="宋体" w:cs="宋体"/>
          <w:kern w:val="0"/>
          <w:sz w:val="24"/>
          <w:szCs w:val="24"/>
          <w:highlight w:val="none"/>
          <w:lang w:val="en-US" w:eastAsia="zh-CN"/>
        </w:rPr>
        <w:t>出席债权人会议的有表决权的债权人数的100%，其所</w:t>
      </w:r>
      <w:r>
        <w:rPr>
          <w:rFonts w:hint="eastAsia" w:ascii="宋体" w:hAnsi="宋体" w:eastAsia="宋体" w:cs="宋体"/>
          <w:sz w:val="24"/>
          <w:szCs w:val="24"/>
          <w:highlight w:val="none"/>
        </w:rPr>
        <w:t>代表</w:t>
      </w:r>
      <w:r>
        <w:rPr>
          <w:rFonts w:hint="eastAsia" w:ascii="宋体" w:hAnsi="宋体" w:cs="宋体"/>
          <w:sz w:val="24"/>
          <w:szCs w:val="24"/>
          <w:highlight w:val="none"/>
          <w:lang w:val="en-US" w:eastAsia="zh-CN"/>
        </w:rPr>
        <w:t>的</w:t>
      </w:r>
      <w:r>
        <w:rPr>
          <w:rFonts w:hint="eastAsia" w:ascii="宋体" w:hAnsi="宋体" w:eastAsia="宋体" w:cs="宋体"/>
          <w:sz w:val="24"/>
          <w:szCs w:val="24"/>
          <w:highlight w:val="none"/>
        </w:rPr>
        <w:t>债权额</w:t>
      </w:r>
      <w:r>
        <w:rPr>
          <w:rFonts w:hint="eastAsia" w:ascii="宋体" w:hAnsi="宋体" w:cs="宋体"/>
          <w:kern w:val="0"/>
          <w:sz w:val="24"/>
          <w:szCs w:val="24"/>
          <w:highlight w:val="none"/>
          <w:lang w:val="en-US" w:eastAsia="zh-CN"/>
        </w:rPr>
        <w:t>1</w:t>
      </w:r>
      <w:r>
        <w:rPr>
          <w:rFonts w:hint="default" w:ascii="宋体" w:hAnsi="宋体" w:cs="宋体"/>
          <w:kern w:val="0"/>
          <w:sz w:val="24"/>
          <w:szCs w:val="24"/>
          <w:highlight w:val="none"/>
          <w:lang w:val="en-US" w:eastAsia="zh-CN"/>
        </w:rPr>
        <w:t>,</w:t>
      </w:r>
      <w:r>
        <w:rPr>
          <w:rFonts w:hint="eastAsia" w:ascii="宋体" w:hAnsi="宋体" w:cs="宋体"/>
          <w:kern w:val="0"/>
          <w:sz w:val="24"/>
          <w:szCs w:val="24"/>
          <w:highlight w:val="none"/>
          <w:lang w:val="en-US" w:eastAsia="zh-CN"/>
        </w:rPr>
        <w:t>106</w:t>
      </w:r>
      <w:r>
        <w:rPr>
          <w:rFonts w:hint="default" w:ascii="宋体" w:hAnsi="宋体" w:cs="宋体"/>
          <w:kern w:val="0"/>
          <w:sz w:val="24"/>
          <w:szCs w:val="24"/>
          <w:highlight w:val="none"/>
          <w:lang w:val="en-US" w:eastAsia="zh-CN"/>
        </w:rPr>
        <w:t>,</w:t>
      </w:r>
      <w:r>
        <w:rPr>
          <w:rFonts w:hint="eastAsia" w:ascii="宋体" w:hAnsi="宋体" w:cs="宋体"/>
          <w:kern w:val="0"/>
          <w:sz w:val="24"/>
          <w:szCs w:val="24"/>
          <w:highlight w:val="none"/>
          <w:lang w:val="en-US" w:eastAsia="zh-CN"/>
        </w:rPr>
        <w:t>961.2</w:t>
      </w:r>
      <w:r>
        <w:rPr>
          <w:rFonts w:hint="eastAsia" w:ascii="宋体" w:hAnsi="宋体" w:eastAsia="宋体" w:cs="宋体"/>
          <w:sz w:val="24"/>
          <w:szCs w:val="24"/>
          <w:highlight w:val="none"/>
        </w:rPr>
        <w:t>元</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占无财产担保债权总额的100%</w:t>
      </w:r>
      <w:r>
        <w:rPr>
          <w:rFonts w:hint="eastAsia" w:ascii="宋体" w:hAnsi="宋体" w:cs="宋体"/>
          <w:sz w:val="24"/>
          <w:szCs w:val="24"/>
          <w:highlight w:val="none"/>
          <w:lang w:eastAsia="zh-CN"/>
        </w:rPr>
        <w:t>。</w:t>
      </w:r>
    </w:p>
    <w:p w14:paraId="780F1FFC">
      <w:pPr>
        <w:keepNext w:val="0"/>
        <w:keepLines w:val="0"/>
        <w:pageBreakBefore w:val="0"/>
        <w:widowControl w:val="0"/>
        <w:kinsoku/>
        <w:wordWrap/>
        <w:overflowPunct/>
        <w:topLinePunct w:val="0"/>
        <w:autoSpaceDE/>
        <w:autoSpaceDN/>
        <w:bidi w:val="0"/>
        <w:spacing w:line="560" w:lineRule="exact"/>
        <w:ind w:righ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根据</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中华人民共和国</w:t>
      </w:r>
      <w:r>
        <w:rPr>
          <w:rFonts w:hint="eastAsia" w:ascii="宋体" w:hAnsi="宋体" w:eastAsia="宋体" w:cs="宋体"/>
          <w:sz w:val="24"/>
          <w:szCs w:val="24"/>
          <w:highlight w:val="none"/>
        </w:rPr>
        <w:t>企业破产法》</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以下简称</w:t>
      </w:r>
      <w:r>
        <w:rPr>
          <w:rFonts w:hint="eastAsia" w:ascii="宋体" w:hAnsi="宋体" w:eastAsia="宋体" w:cs="宋体"/>
          <w:sz w:val="24"/>
          <w:szCs w:val="24"/>
          <w:highlight w:val="none"/>
        </w:rPr>
        <w:t>《企业破产法》</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第五十九条、</w:t>
      </w:r>
      <w:r>
        <w:rPr>
          <w:rFonts w:hint="eastAsia" w:ascii="宋体" w:hAnsi="宋体" w:eastAsia="宋体" w:cs="宋体"/>
          <w:sz w:val="24"/>
          <w:szCs w:val="24"/>
          <w:highlight w:val="none"/>
        </w:rPr>
        <w:t>第六十四条</w:t>
      </w:r>
      <w:r>
        <w:rPr>
          <w:rFonts w:hint="eastAsia" w:ascii="宋体" w:hAnsi="宋体" w:eastAsia="宋体" w:cs="宋体"/>
          <w:sz w:val="24"/>
          <w:szCs w:val="24"/>
          <w:highlight w:val="none"/>
          <w:lang w:val="en-US" w:eastAsia="zh-CN"/>
        </w:rPr>
        <w:t>的规定，</w:t>
      </w:r>
      <w:r>
        <w:rPr>
          <w:rFonts w:hint="eastAsia" w:ascii="宋体" w:hAnsi="宋体" w:eastAsia="宋体" w:cs="宋体"/>
          <w:sz w:val="24"/>
          <w:szCs w:val="24"/>
          <w:highlight w:val="none"/>
        </w:rPr>
        <w:t>《财产管理方案》表决通过。</w:t>
      </w:r>
    </w:p>
    <w:p w14:paraId="1AB49E6D">
      <w:pPr>
        <w:keepNext w:val="0"/>
        <w:keepLines w:val="0"/>
        <w:pageBreakBefore w:val="0"/>
        <w:widowControl w:val="0"/>
        <w:kinsoku/>
        <w:wordWrap/>
        <w:overflowPunct/>
        <w:topLinePunct w:val="0"/>
        <w:autoSpaceDE/>
        <w:autoSpaceDN/>
        <w:bidi w:val="0"/>
        <w:spacing w:line="560" w:lineRule="exact"/>
        <w:ind w:right="0" w:firstLine="480" w:firstLineChars="200"/>
        <w:textAlignment w:val="auto"/>
        <w:outlineLvl w:val="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lang w:eastAsia="zh-CN"/>
          <w14:textFill>
            <w14:solidFill>
              <w14:schemeClr w14:val="tx1"/>
            </w14:solidFill>
          </w14:textFill>
        </w:rPr>
        <w:t>（</w:t>
      </w:r>
      <w:r>
        <w:rPr>
          <w:rFonts w:hint="eastAsia" w:ascii="宋体" w:hAnsi="宋体" w:cs="宋体"/>
          <w:b/>
          <w:bCs/>
          <w:color w:val="000000" w:themeColor="text1"/>
          <w:sz w:val="24"/>
          <w:szCs w:val="24"/>
          <w:highlight w:val="none"/>
          <w:lang w:val="en-US" w:eastAsia="zh-CN"/>
          <w14:textFill>
            <w14:solidFill>
              <w14:schemeClr w14:val="tx1"/>
            </w14:solidFill>
          </w14:textFill>
        </w:rPr>
        <w:t>二</w:t>
      </w:r>
      <w:r>
        <w:rPr>
          <w:rFonts w:hint="eastAsia" w:ascii="宋体" w:hAnsi="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破产</w:t>
      </w:r>
      <w:r>
        <w:rPr>
          <w:rFonts w:hint="eastAsia" w:ascii="宋体" w:hAnsi="宋体" w:eastAsia="宋体" w:cs="宋体"/>
          <w:b/>
          <w:bCs/>
          <w:color w:val="000000" w:themeColor="text1"/>
          <w:sz w:val="24"/>
          <w:szCs w:val="24"/>
          <w:highlight w:val="none"/>
          <w14:textFill>
            <w14:solidFill>
              <w14:schemeClr w14:val="tx1"/>
            </w14:solidFill>
          </w14:textFill>
        </w:rPr>
        <w:t>财产变价方案》</w:t>
      </w:r>
    </w:p>
    <w:p w14:paraId="091C3E83">
      <w:pPr>
        <w:keepNext w:val="0"/>
        <w:keepLines w:val="0"/>
        <w:pageBreakBefore w:val="0"/>
        <w:widowControl w:val="0"/>
        <w:kinsoku/>
        <w:wordWrap/>
        <w:overflowPunct/>
        <w:topLinePunct w:val="0"/>
        <w:autoSpaceDE/>
        <w:autoSpaceDN/>
        <w:bidi w:val="0"/>
        <w:spacing w:line="560" w:lineRule="exact"/>
        <w:ind w:right="0"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b w:val="0"/>
          <w:bCs w:val="0"/>
          <w:kern w:val="0"/>
          <w:sz w:val="24"/>
          <w:szCs w:val="24"/>
          <w:highlight w:val="none"/>
          <w:lang w:val="en-US" w:eastAsia="zh-CN"/>
        </w:rPr>
        <w:t>出席会议的对《破产财产变价方案》有表决权的债权人共2家，其中同意该方案</w:t>
      </w:r>
      <w:r>
        <w:rPr>
          <w:rFonts w:hint="eastAsia" w:ascii="宋体" w:hAnsi="宋体" w:cs="宋体"/>
          <w:kern w:val="0"/>
          <w:sz w:val="24"/>
          <w:szCs w:val="24"/>
          <w:highlight w:val="none"/>
          <w:lang w:val="en-US" w:eastAsia="zh-CN"/>
        </w:rPr>
        <w:t>的</w:t>
      </w:r>
      <w:r>
        <w:rPr>
          <w:rFonts w:hint="eastAsia" w:ascii="宋体" w:hAnsi="宋体" w:cs="宋体"/>
          <w:sz w:val="24"/>
          <w:szCs w:val="24"/>
          <w:highlight w:val="none"/>
          <w:lang w:val="en-US" w:eastAsia="zh-CN"/>
        </w:rPr>
        <w:t>债权人共2家</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占</w:t>
      </w:r>
      <w:r>
        <w:rPr>
          <w:rFonts w:hint="eastAsia" w:ascii="宋体" w:hAnsi="宋体" w:cs="宋体"/>
          <w:kern w:val="0"/>
          <w:sz w:val="24"/>
          <w:szCs w:val="24"/>
          <w:highlight w:val="none"/>
          <w:lang w:val="en-US" w:eastAsia="zh-CN"/>
        </w:rPr>
        <w:t>出席债权人会议的有表决权的债权人数的100%，其所</w:t>
      </w:r>
      <w:r>
        <w:rPr>
          <w:rFonts w:hint="eastAsia" w:ascii="宋体" w:hAnsi="宋体" w:eastAsia="宋体" w:cs="宋体"/>
          <w:sz w:val="24"/>
          <w:szCs w:val="24"/>
          <w:highlight w:val="none"/>
        </w:rPr>
        <w:t>代表</w:t>
      </w:r>
      <w:r>
        <w:rPr>
          <w:rFonts w:hint="eastAsia" w:ascii="宋体" w:hAnsi="宋体" w:cs="宋体"/>
          <w:sz w:val="24"/>
          <w:szCs w:val="24"/>
          <w:highlight w:val="none"/>
          <w:lang w:val="en-US" w:eastAsia="zh-CN"/>
        </w:rPr>
        <w:t>的</w:t>
      </w:r>
      <w:r>
        <w:rPr>
          <w:rFonts w:hint="eastAsia" w:ascii="宋体" w:hAnsi="宋体" w:eastAsia="宋体" w:cs="宋体"/>
          <w:sz w:val="24"/>
          <w:szCs w:val="24"/>
          <w:highlight w:val="none"/>
        </w:rPr>
        <w:t>债权额</w:t>
      </w:r>
      <w:r>
        <w:rPr>
          <w:rFonts w:hint="eastAsia" w:ascii="宋体" w:hAnsi="宋体" w:cs="宋体"/>
          <w:kern w:val="0"/>
          <w:sz w:val="24"/>
          <w:szCs w:val="24"/>
          <w:highlight w:val="none"/>
          <w:lang w:val="en-US" w:eastAsia="zh-CN"/>
        </w:rPr>
        <w:t>1</w:t>
      </w:r>
      <w:r>
        <w:rPr>
          <w:rFonts w:hint="default" w:ascii="宋体" w:hAnsi="宋体" w:cs="宋体"/>
          <w:kern w:val="0"/>
          <w:sz w:val="24"/>
          <w:szCs w:val="24"/>
          <w:highlight w:val="none"/>
          <w:lang w:val="en-US" w:eastAsia="zh-CN"/>
        </w:rPr>
        <w:t>,</w:t>
      </w:r>
      <w:r>
        <w:rPr>
          <w:rFonts w:hint="eastAsia" w:ascii="宋体" w:hAnsi="宋体" w:cs="宋体"/>
          <w:kern w:val="0"/>
          <w:sz w:val="24"/>
          <w:szCs w:val="24"/>
          <w:highlight w:val="none"/>
          <w:lang w:val="en-US" w:eastAsia="zh-CN"/>
        </w:rPr>
        <w:t>106</w:t>
      </w:r>
      <w:r>
        <w:rPr>
          <w:rFonts w:hint="default" w:ascii="宋体" w:hAnsi="宋体" w:cs="宋体"/>
          <w:kern w:val="0"/>
          <w:sz w:val="24"/>
          <w:szCs w:val="24"/>
          <w:highlight w:val="none"/>
          <w:lang w:val="en-US" w:eastAsia="zh-CN"/>
        </w:rPr>
        <w:t>,</w:t>
      </w:r>
      <w:r>
        <w:rPr>
          <w:rFonts w:hint="eastAsia" w:ascii="宋体" w:hAnsi="宋体" w:cs="宋体"/>
          <w:kern w:val="0"/>
          <w:sz w:val="24"/>
          <w:szCs w:val="24"/>
          <w:highlight w:val="none"/>
          <w:lang w:val="en-US" w:eastAsia="zh-CN"/>
        </w:rPr>
        <w:t>961.2</w:t>
      </w:r>
      <w:r>
        <w:rPr>
          <w:rFonts w:hint="eastAsia" w:ascii="宋体" w:hAnsi="宋体" w:eastAsia="宋体" w:cs="宋体"/>
          <w:sz w:val="24"/>
          <w:szCs w:val="24"/>
          <w:highlight w:val="none"/>
        </w:rPr>
        <w:t>元</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占无财产担保债权总额的100%</w:t>
      </w:r>
      <w:r>
        <w:rPr>
          <w:rFonts w:hint="eastAsia" w:ascii="宋体" w:hAnsi="宋体" w:cs="宋体"/>
          <w:sz w:val="24"/>
          <w:szCs w:val="24"/>
          <w:highlight w:val="none"/>
          <w:lang w:eastAsia="zh-CN"/>
        </w:rPr>
        <w:t>。</w:t>
      </w:r>
    </w:p>
    <w:p w14:paraId="3DC096BF">
      <w:pPr>
        <w:keepNext w:val="0"/>
        <w:keepLines w:val="0"/>
        <w:pageBreakBefore w:val="0"/>
        <w:widowControl w:val="0"/>
        <w:kinsoku/>
        <w:wordWrap/>
        <w:overflowPunct/>
        <w:topLinePunct w:val="0"/>
        <w:autoSpaceDE/>
        <w:autoSpaceDN/>
        <w:bidi w:val="0"/>
        <w:spacing w:line="560" w:lineRule="exact"/>
        <w:ind w:righ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根据</w:t>
      </w:r>
      <w:r>
        <w:rPr>
          <w:rFonts w:hint="eastAsia" w:ascii="宋体" w:hAnsi="宋体" w:eastAsia="宋体" w:cs="宋体"/>
          <w:sz w:val="24"/>
          <w:szCs w:val="24"/>
          <w:highlight w:val="none"/>
        </w:rPr>
        <w:t>《企业破产法》</w:t>
      </w:r>
      <w:r>
        <w:rPr>
          <w:rFonts w:hint="eastAsia" w:ascii="宋体" w:hAnsi="宋体" w:eastAsia="宋体" w:cs="宋体"/>
          <w:sz w:val="24"/>
          <w:szCs w:val="24"/>
          <w:highlight w:val="none"/>
          <w:lang w:val="en-US" w:eastAsia="zh-CN"/>
        </w:rPr>
        <w:t>第五十九条、</w:t>
      </w:r>
      <w:r>
        <w:rPr>
          <w:rFonts w:hint="eastAsia" w:ascii="宋体" w:hAnsi="宋体" w:eastAsia="宋体" w:cs="宋体"/>
          <w:sz w:val="24"/>
          <w:szCs w:val="24"/>
          <w:highlight w:val="none"/>
        </w:rPr>
        <w:t>第六十四条</w:t>
      </w:r>
      <w:r>
        <w:rPr>
          <w:rFonts w:hint="eastAsia" w:ascii="宋体" w:hAnsi="宋体" w:eastAsia="宋体" w:cs="宋体"/>
          <w:sz w:val="24"/>
          <w:szCs w:val="24"/>
          <w:highlight w:val="none"/>
          <w:lang w:val="en-US" w:eastAsia="zh-CN"/>
        </w:rPr>
        <w:t>的规定，</w:t>
      </w:r>
      <w:r>
        <w:rPr>
          <w:rFonts w:hint="eastAsia" w:ascii="宋体" w:hAnsi="宋体" w:cs="宋体"/>
          <w:b w:val="0"/>
          <w:bCs w:val="0"/>
          <w:kern w:val="0"/>
          <w:sz w:val="24"/>
          <w:szCs w:val="24"/>
          <w:highlight w:val="none"/>
          <w:lang w:val="en-US" w:eastAsia="zh-CN"/>
        </w:rPr>
        <w:t>《破产财产变价方案》</w:t>
      </w:r>
      <w:r>
        <w:rPr>
          <w:rFonts w:hint="eastAsia" w:ascii="宋体" w:hAnsi="宋体" w:eastAsia="宋体" w:cs="宋体"/>
          <w:sz w:val="24"/>
          <w:szCs w:val="24"/>
          <w:highlight w:val="none"/>
        </w:rPr>
        <w:t>表决通过。</w:t>
      </w:r>
    </w:p>
    <w:p w14:paraId="0B114BCC">
      <w:pPr>
        <w:keepNext w:val="0"/>
        <w:keepLines w:val="0"/>
        <w:pageBreakBefore w:val="0"/>
        <w:widowControl w:val="0"/>
        <w:kinsoku/>
        <w:wordWrap/>
        <w:overflowPunct/>
        <w:topLinePunct w:val="0"/>
        <w:autoSpaceDE/>
        <w:autoSpaceDN/>
        <w:bidi w:val="0"/>
        <w:spacing w:line="560" w:lineRule="exact"/>
        <w:ind w:right="0" w:firstLine="480" w:firstLineChars="200"/>
        <w:textAlignment w:val="auto"/>
        <w:outlineLvl w:val="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lang w:eastAsia="zh-CN"/>
          <w14:textFill>
            <w14:solidFill>
              <w14:schemeClr w14:val="tx1"/>
            </w14:solidFill>
          </w14:textFill>
        </w:rPr>
        <w:t>（</w:t>
      </w:r>
      <w:r>
        <w:rPr>
          <w:rFonts w:hint="eastAsia" w:ascii="宋体" w:hAnsi="宋体" w:cs="宋体"/>
          <w:b/>
          <w:bCs/>
          <w:color w:val="000000" w:themeColor="text1"/>
          <w:sz w:val="24"/>
          <w:szCs w:val="24"/>
          <w:highlight w:val="none"/>
          <w:lang w:val="en-US" w:eastAsia="zh-CN"/>
          <w14:textFill>
            <w14:solidFill>
              <w14:schemeClr w14:val="tx1"/>
            </w14:solidFill>
          </w14:textFill>
        </w:rPr>
        <w:t>三</w:t>
      </w:r>
      <w:r>
        <w:rPr>
          <w:rFonts w:hint="eastAsia" w:ascii="宋体" w:hAnsi="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破产</w:t>
      </w:r>
      <w:r>
        <w:rPr>
          <w:rFonts w:hint="eastAsia" w:ascii="宋体" w:hAnsi="宋体" w:eastAsia="宋体" w:cs="宋体"/>
          <w:b/>
          <w:bCs/>
          <w:color w:val="000000" w:themeColor="text1"/>
          <w:sz w:val="24"/>
          <w:szCs w:val="24"/>
          <w:highlight w:val="none"/>
          <w14:textFill>
            <w14:solidFill>
              <w14:schemeClr w14:val="tx1"/>
            </w14:solidFill>
          </w14:textFill>
        </w:rPr>
        <w:t>财产分配方案》</w:t>
      </w:r>
    </w:p>
    <w:p w14:paraId="5BD6740C">
      <w:pPr>
        <w:keepNext w:val="0"/>
        <w:keepLines w:val="0"/>
        <w:pageBreakBefore w:val="0"/>
        <w:widowControl w:val="0"/>
        <w:kinsoku/>
        <w:wordWrap/>
        <w:overflowPunct/>
        <w:topLinePunct w:val="0"/>
        <w:autoSpaceDE/>
        <w:autoSpaceDN/>
        <w:bidi w:val="0"/>
        <w:spacing w:line="560" w:lineRule="exact"/>
        <w:ind w:right="0" w:firstLine="480" w:firstLineChars="200"/>
        <w:textAlignment w:val="auto"/>
        <w:rPr>
          <w:rFonts w:hint="eastAsia" w:ascii="宋体" w:hAnsi="宋体" w:cs="宋体"/>
          <w:sz w:val="24"/>
          <w:szCs w:val="24"/>
          <w:highlight w:val="none"/>
          <w:lang w:eastAsia="zh-CN"/>
        </w:rPr>
      </w:pPr>
      <w:r>
        <w:rPr>
          <w:rFonts w:hint="eastAsia" w:ascii="宋体" w:hAnsi="宋体" w:cs="宋体"/>
          <w:b w:val="0"/>
          <w:bCs w:val="0"/>
          <w:kern w:val="0"/>
          <w:sz w:val="24"/>
          <w:szCs w:val="24"/>
          <w:highlight w:val="none"/>
          <w:lang w:val="en-US" w:eastAsia="zh-CN"/>
        </w:rPr>
        <w:t>出席会议的对《破产财产分配方案》有表决权的债权人共2家，其中同意该方案</w:t>
      </w:r>
      <w:r>
        <w:rPr>
          <w:rFonts w:hint="eastAsia" w:ascii="宋体" w:hAnsi="宋体" w:cs="宋体"/>
          <w:kern w:val="0"/>
          <w:sz w:val="24"/>
          <w:szCs w:val="24"/>
          <w:highlight w:val="none"/>
          <w:lang w:val="en-US" w:eastAsia="zh-CN"/>
        </w:rPr>
        <w:t>的</w:t>
      </w:r>
      <w:r>
        <w:rPr>
          <w:rFonts w:hint="eastAsia" w:ascii="宋体" w:hAnsi="宋体" w:cs="宋体"/>
          <w:sz w:val="24"/>
          <w:szCs w:val="24"/>
          <w:highlight w:val="none"/>
          <w:lang w:val="en-US" w:eastAsia="zh-CN"/>
        </w:rPr>
        <w:t>债权人共2家</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占</w:t>
      </w:r>
      <w:r>
        <w:rPr>
          <w:rFonts w:hint="eastAsia" w:ascii="宋体" w:hAnsi="宋体" w:cs="宋体"/>
          <w:kern w:val="0"/>
          <w:sz w:val="24"/>
          <w:szCs w:val="24"/>
          <w:highlight w:val="none"/>
          <w:lang w:val="en-US" w:eastAsia="zh-CN"/>
        </w:rPr>
        <w:t>出席债权人会议的有表决权的债权人数的100%，其所</w:t>
      </w:r>
      <w:r>
        <w:rPr>
          <w:rFonts w:hint="eastAsia" w:ascii="宋体" w:hAnsi="宋体" w:eastAsia="宋体" w:cs="宋体"/>
          <w:sz w:val="24"/>
          <w:szCs w:val="24"/>
          <w:highlight w:val="none"/>
        </w:rPr>
        <w:t>代表</w:t>
      </w:r>
      <w:r>
        <w:rPr>
          <w:rFonts w:hint="eastAsia" w:ascii="宋体" w:hAnsi="宋体" w:cs="宋体"/>
          <w:sz w:val="24"/>
          <w:szCs w:val="24"/>
          <w:highlight w:val="none"/>
          <w:lang w:val="en-US" w:eastAsia="zh-CN"/>
        </w:rPr>
        <w:t>的</w:t>
      </w:r>
      <w:r>
        <w:rPr>
          <w:rFonts w:hint="eastAsia" w:ascii="宋体" w:hAnsi="宋体" w:eastAsia="宋体" w:cs="宋体"/>
          <w:sz w:val="24"/>
          <w:szCs w:val="24"/>
          <w:highlight w:val="none"/>
        </w:rPr>
        <w:t>债权额</w:t>
      </w:r>
      <w:r>
        <w:rPr>
          <w:rFonts w:hint="eastAsia" w:ascii="宋体" w:hAnsi="宋体" w:cs="宋体"/>
          <w:kern w:val="0"/>
          <w:sz w:val="24"/>
          <w:szCs w:val="24"/>
          <w:highlight w:val="none"/>
          <w:lang w:val="en-US" w:eastAsia="zh-CN"/>
        </w:rPr>
        <w:t>1</w:t>
      </w:r>
      <w:r>
        <w:rPr>
          <w:rFonts w:hint="default" w:ascii="宋体" w:hAnsi="宋体" w:cs="宋体"/>
          <w:kern w:val="0"/>
          <w:sz w:val="24"/>
          <w:szCs w:val="24"/>
          <w:highlight w:val="none"/>
          <w:lang w:val="en-US" w:eastAsia="zh-CN"/>
        </w:rPr>
        <w:t>,</w:t>
      </w:r>
      <w:r>
        <w:rPr>
          <w:rFonts w:hint="eastAsia" w:ascii="宋体" w:hAnsi="宋体" w:cs="宋体"/>
          <w:kern w:val="0"/>
          <w:sz w:val="24"/>
          <w:szCs w:val="24"/>
          <w:highlight w:val="none"/>
          <w:lang w:val="en-US" w:eastAsia="zh-CN"/>
        </w:rPr>
        <w:t>106</w:t>
      </w:r>
      <w:r>
        <w:rPr>
          <w:rFonts w:hint="default" w:ascii="宋体" w:hAnsi="宋体" w:cs="宋体"/>
          <w:kern w:val="0"/>
          <w:sz w:val="24"/>
          <w:szCs w:val="24"/>
          <w:highlight w:val="none"/>
          <w:lang w:val="en-US" w:eastAsia="zh-CN"/>
        </w:rPr>
        <w:t>,</w:t>
      </w:r>
      <w:r>
        <w:rPr>
          <w:rFonts w:hint="eastAsia" w:ascii="宋体" w:hAnsi="宋体" w:cs="宋体"/>
          <w:kern w:val="0"/>
          <w:sz w:val="24"/>
          <w:szCs w:val="24"/>
          <w:highlight w:val="none"/>
          <w:lang w:val="en-US" w:eastAsia="zh-CN"/>
        </w:rPr>
        <w:t>961.2</w:t>
      </w:r>
      <w:r>
        <w:rPr>
          <w:rFonts w:hint="eastAsia" w:ascii="宋体" w:hAnsi="宋体" w:eastAsia="宋体" w:cs="宋体"/>
          <w:sz w:val="24"/>
          <w:szCs w:val="24"/>
          <w:highlight w:val="none"/>
        </w:rPr>
        <w:t>元</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占无财产担保债权总额的100%</w:t>
      </w:r>
      <w:r>
        <w:rPr>
          <w:rFonts w:hint="eastAsia" w:ascii="宋体" w:hAnsi="宋体" w:cs="宋体"/>
          <w:sz w:val="24"/>
          <w:szCs w:val="24"/>
          <w:highlight w:val="none"/>
          <w:lang w:eastAsia="zh-CN"/>
        </w:rPr>
        <w:t>。</w:t>
      </w:r>
    </w:p>
    <w:p w14:paraId="35475DB2">
      <w:pPr>
        <w:keepNext w:val="0"/>
        <w:keepLines w:val="0"/>
        <w:pageBreakBefore w:val="0"/>
        <w:widowControl w:val="0"/>
        <w:kinsoku/>
        <w:wordWrap/>
        <w:overflowPunct/>
        <w:topLinePunct w:val="0"/>
        <w:autoSpaceDE/>
        <w:autoSpaceDN/>
        <w:bidi w:val="0"/>
        <w:spacing w:line="560" w:lineRule="exact"/>
        <w:ind w:righ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根据</w:t>
      </w:r>
      <w:r>
        <w:rPr>
          <w:rFonts w:hint="eastAsia" w:ascii="宋体" w:hAnsi="宋体" w:eastAsia="宋体" w:cs="宋体"/>
          <w:sz w:val="24"/>
          <w:szCs w:val="24"/>
          <w:highlight w:val="none"/>
        </w:rPr>
        <w:t>《企业破产法》</w:t>
      </w:r>
      <w:r>
        <w:rPr>
          <w:rFonts w:hint="eastAsia" w:ascii="宋体" w:hAnsi="宋体" w:eastAsia="宋体" w:cs="宋体"/>
          <w:sz w:val="24"/>
          <w:szCs w:val="24"/>
          <w:highlight w:val="none"/>
          <w:lang w:val="en-US" w:eastAsia="zh-CN"/>
        </w:rPr>
        <w:t>第五十九条、</w:t>
      </w:r>
      <w:r>
        <w:rPr>
          <w:rFonts w:hint="eastAsia" w:ascii="宋体" w:hAnsi="宋体" w:eastAsia="宋体" w:cs="宋体"/>
          <w:sz w:val="24"/>
          <w:szCs w:val="24"/>
          <w:highlight w:val="none"/>
        </w:rPr>
        <w:t>第六十四条</w:t>
      </w:r>
      <w:r>
        <w:rPr>
          <w:rFonts w:hint="eastAsia" w:ascii="宋体" w:hAnsi="宋体" w:eastAsia="宋体" w:cs="宋体"/>
          <w:sz w:val="24"/>
          <w:szCs w:val="24"/>
          <w:highlight w:val="none"/>
          <w:lang w:val="en-US" w:eastAsia="zh-CN"/>
        </w:rPr>
        <w:t>的规定，</w:t>
      </w:r>
      <w:r>
        <w:rPr>
          <w:rFonts w:hint="eastAsia" w:ascii="宋体" w:hAnsi="宋体" w:cs="宋体"/>
          <w:b w:val="0"/>
          <w:bCs w:val="0"/>
          <w:kern w:val="0"/>
          <w:sz w:val="24"/>
          <w:szCs w:val="24"/>
          <w:highlight w:val="none"/>
          <w:lang w:val="en-US" w:eastAsia="zh-CN"/>
        </w:rPr>
        <w:t>《破产财产分配方案》</w:t>
      </w:r>
      <w:r>
        <w:rPr>
          <w:rFonts w:hint="eastAsia" w:ascii="宋体" w:hAnsi="宋体" w:eastAsia="宋体" w:cs="宋体"/>
          <w:sz w:val="24"/>
          <w:szCs w:val="24"/>
          <w:highlight w:val="none"/>
        </w:rPr>
        <w:t>表决通过。</w:t>
      </w:r>
    </w:p>
    <w:p w14:paraId="00B20F4A">
      <w:pPr>
        <w:keepNext w:val="0"/>
        <w:keepLines w:val="0"/>
        <w:pageBreakBefore w:val="0"/>
        <w:widowControl w:val="0"/>
        <w:kinsoku/>
        <w:wordWrap/>
        <w:overflowPunct/>
        <w:topLinePunct w:val="0"/>
        <w:autoSpaceDE/>
        <w:autoSpaceDN/>
        <w:bidi w:val="0"/>
        <w:spacing w:line="560" w:lineRule="exact"/>
        <w:ind w:right="0" w:firstLine="480" w:firstLineChars="200"/>
        <w:textAlignment w:val="auto"/>
        <w:outlineLvl w:val="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lang w:eastAsia="zh-CN"/>
          <w14:textFill>
            <w14:solidFill>
              <w14:schemeClr w14:val="tx1"/>
            </w14:solidFill>
          </w14:textFill>
        </w:rPr>
        <w:t>（</w:t>
      </w:r>
      <w:r>
        <w:rPr>
          <w:rFonts w:hint="eastAsia" w:ascii="宋体" w:hAnsi="宋体" w:cs="宋体"/>
          <w:b/>
          <w:bCs/>
          <w:color w:val="000000" w:themeColor="text1"/>
          <w:sz w:val="24"/>
          <w:szCs w:val="24"/>
          <w:highlight w:val="none"/>
          <w:lang w:val="en-US" w:eastAsia="zh-CN"/>
          <w14:textFill>
            <w14:solidFill>
              <w14:schemeClr w14:val="tx1"/>
            </w14:solidFill>
          </w14:textFill>
        </w:rPr>
        <w:t>四</w:t>
      </w:r>
      <w:r>
        <w:rPr>
          <w:rFonts w:hint="eastAsia" w:ascii="宋体" w:hAnsi="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eastAsia" w:ascii="宋体" w:hAnsi="宋体" w:eastAsia="宋体" w:cs="宋体"/>
          <w:b/>
          <w:bCs/>
          <w:color w:val="000000" w:themeColor="text1"/>
          <w:sz w:val="24"/>
          <w:szCs w:val="24"/>
          <w:highlight w:val="none"/>
          <w14:textFill>
            <w14:solidFill>
              <w14:schemeClr w14:val="tx1"/>
            </w14:solidFill>
          </w14:textFill>
        </w:rPr>
        <w:t>关于以非现场方式召开债权人会议的方案</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p>
    <w:p w14:paraId="28188814">
      <w:pPr>
        <w:keepNext w:val="0"/>
        <w:keepLines w:val="0"/>
        <w:pageBreakBefore w:val="0"/>
        <w:widowControl w:val="0"/>
        <w:kinsoku/>
        <w:wordWrap/>
        <w:overflowPunct/>
        <w:topLinePunct w:val="0"/>
        <w:autoSpaceDE/>
        <w:autoSpaceDN/>
        <w:bidi w:val="0"/>
        <w:spacing w:line="560" w:lineRule="exact"/>
        <w:ind w:right="0"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b w:val="0"/>
          <w:bCs w:val="0"/>
          <w:kern w:val="0"/>
          <w:sz w:val="24"/>
          <w:szCs w:val="24"/>
          <w:highlight w:val="none"/>
          <w:lang w:val="en-US" w:eastAsia="zh-CN"/>
        </w:rPr>
        <w:t>出席会议的对《关于以非现场方式召开债权人会议的方案》有表决权的债权人共2家，其中同意该方案</w:t>
      </w:r>
      <w:r>
        <w:rPr>
          <w:rFonts w:hint="eastAsia" w:ascii="宋体" w:hAnsi="宋体" w:cs="宋体"/>
          <w:kern w:val="0"/>
          <w:sz w:val="24"/>
          <w:szCs w:val="24"/>
          <w:highlight w:val="none"/>
          <w:lang w:val="en-US" w:eastAsia="zh-CN"/>
        </w:rPr>
        <w:t>的</w:t>
      </w:r>
      <w:r>
        <w:rPr>
          <w:rFonts w:hint="eastAsia" w:ascii="宋体" w:hAnsi="宋体" w:cs="宋体"/>
          <w:sz w:val="24"/>
          <w:szCs w:val="24"/>
          <w:highlight w:val="none"/>
          <w:lang w:val="en-US" w:eastAsia="zh-CN"/>
        </w:rPr>
        <w:t>债权人共2家</w:t>
      </w:r>
      <w:r>
        <w:rPr>
          <w:rFonts w:hint="eastAsia" w:ascii="宋体" w:hAnsi="宋体" w:eastAsia="宋体" w:cs="宋体"/>
          <w:sz w:val="24"/>
          <w:szCs w:val="24"/>
          <w:highlight w:val="none"/>
        </w:rPr>
        <w:t>，</w:t>
      </w:r>
      <w:r>
        <w:rPr>
          <w:rFonts w:hint="eastAsia" w:ascii="宋体" w:hAnsi="宋体" w:cs="宋体"/>
          <w:sz w:val="24"/>
          <w:szCs w:val="24"/>
          <w:highlight w:val="none"/>
          <w:lang w:val="en-US" w:eastAsia="zh-CN"/>
        </w:rPr>
        <w:t>占</w:t>
      </w:r>
      <w:r>
        <w:rPr>
          <w:rFonts w:hint="eastAsia" w:ascii="宋体" w:hAnsi="宋体" w:cs="宋体"/>
          <w:kern w:val="0"/>
          <w:sz w:val="24"/>
          <w:szCs w:val="24"/>
          <w:highlight w:val="none"/>
          <w:lang w:val="en-US" w:eastAsia="zh-CN"/>
        </w:rPr>
        <w:t>出席债权人会议的有表决权的债权人数的100%，其所</w:t>
      </w:r>
      <w:r>
        <w:rPr>
          <w:rFonts w:hint="eastAsia" w:ascii="宋体" w:hAnsi="宋体" w:eastAsia="宋体" w:cs="宋体"/>
          <w:sz w:val="24"/>
          <w:szCs w:val="24"/>
          <w:highlight w:val="none"/>
        </w:rPr>
        <w:t>代表</w:t>
      </w:r>
      <w:r>
        <w:rPr>
          <w:rFonts w:hint="eastAsia" w:ascii="宋体" w:hAnsi="宋体" w:cs="宋体"/>
          <w:sz w:val="24"/>
          <w:szCs w:val="24"/>
          <w:highlight w:val="none"/>
          <w:lang w:val="en-US" w:eastAsia="zh-CN"/>
        </w:rPr>
        <w:t>的</w:t>
      </w:r>
      <w:r>
        <w:rPr>
          <w:rFonts w:hint="eastAsia" w:ascii="宋体" w:hAnsi="宋体" w:eastAsia="宋体" w:cs="宋体"/>
          <w:sz w:val="24"/>
          <w:szCs w:val="24"/>
          <w:highlight w:val="none"/>
        </w:rPr>
        <w:t>债权额</w:t>
      </w:r>
      <w:r>
        <w:rPr>
          <w:rFonts w:hint="eastAsia" w:ascii="宋体" w:hAnsi="宋体" w:cs="宋体"/>
          <w:kern w:val="0"/>
          <w:sz w:val="24"/>
          <w:szCs w:val="24"/>
          <w:highlight w:val="none"/>
          <w:lang w:val="en-US" w:eastAsia="zh-CN"/>
        </w:rPr>
        <w:t>1</w:t>
      </w:r>
      <w:r>
        <w:rPr>
          <w:rFonts w:hint="default" w:ascii="宋体" w:hAnsi="宋体" w:cs="宋体"/>
          <w:kern w:val="0"/>
          <w:sz w:val="24"/>
          <w:szCs w:val="24"/>
          <w:highlight w:val="none"/>
          <w:lang w:val="en-US" w:eastAsia="zh-CN"/>
        </w:rPr>
        <w:t>,</w:t>
      </w:r>
      <w:r>
        <w:rPr>
          <w:rFonts w:hint="eastAsia" w:ascii="宋体" w:hAnsi="宋体" w:cs="宋体"/>
          <w:kern w:val="0"/>
          <w:sz w:val="24"/>
          <w:szCs w:val="24"/>
          <w:highlight w:val="none"/>
          <w:lang w:val="en-US" w:eastAsia="zh-CN"/>
        </w:rPr>
        <w:t>106</w:t>
      </w:r>
      <w:r>
        <w:rPr>
          <w:rFonts w:hint="default" w:ascii="宋体" w:hAnsi="宋体" w:cs="宋体"/>
          <w:kern w:val="0"/>
          <w:sz w:val="24"/>
          <w:szCs w:val="24"/>
          <w:highlight w:val="none"/>
          <w:lang w:val="en-US" w:eastAsia="zh-CN"/>
        </w:rPr>
        <w:t>,</w:t>
      </w:r>
      <w:r>
        <w:rPr>
          <w:rFonts w:hint="eastAsia" w:ascii="宋体" w:hAnsi="宋体" w:cs="宋体"/>
          <w:kern w:val="0"/>
          <w:sz w:val="24"/>
          <w:szCs w:val="24"/>
          <w:highlight w:val="none"/>
          <w:lang w:val="en-US" w:eastAsia="zh-CN"/>
        </w:rPr>
        <w:t>961.2</w:t>
      </w:r>
      <w:r>
        <w:rPr>
          <w:rFonts w:hint="eastAsia" w:ascii="宋体" w:hAnsi="宋体" w:eastAsia="宋体" w:cs="宋体"/>
          <w:sz w:val="24"/>
          <w:szCs w:val="24"/>
          <w:highlight w:val="none"/>
        </w:rPr>
        <w:t>元</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占无财产担保债权总额的100%</w:t>
      </w:r>
      <w:r>
        <w:rPr>
          <w:rFonts w:hint="eastAsia" w:ascii="宋体" w:hAnsi="宋体" w:cs="宋体"/>
          <w:sz w:val="24"/>
          <w:szCs w:val="24"/>
          <w:highlight w:val="none"/>
          <w:lang w:eastAsia="zh-CN"/>
        </w:rPr>
        <w:t>。</w:t>
      </w:r>
    </w:p>
    <w:p w14:paraId="7B8E75E8">
      <w:pPr>
        <w:keepNext w:val="0"/>
        <w:keepLines w:val="0"/>
        <w:pageBreakBefore w:val="0"/>
        <w:widowControl w:val="0"/>
        <w:kinsoku/>
        <w:wordWrap/>
        <w:overflowPunct/>
        <w:topLinePunct w:val="0"/>
        <w:autoSpaceDE/>
        <w:autoSpaceDN/>
        <w:bidi w:val="0"/>
        <w:spacing w:line="560" w:lineRule="exact"/>
        <w:ind w:right="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根据</w:t>
      </w:r>
      <w:r>
        <w:rPr>
          <w:rFonts w:hint="eastAsia" w:ascii="宋体" w:hAnsi="宋体" w:eastAsia="宋体" w:cs="宋体"/>
          <w:sz w:val="24"/>
          <w:szCs w:val="24"/>
          <w:highlight w:val="none"/>
        </w:rPr>
        <w:t>《企业破产法》</w:t>
      </w:r>
      <w:r>
        <w:rPr>
          <w:rFonts w:hint="eastAsia" w:ascii="宋体" w:hAnsi="宋体" w:eastAsia="宋体" w:cs="宋体"/>
          <w:sz w:val="24"/>
          <w:szCs w:val="24"/>
          <w:highlight w:val="none"/>
          <w:lang w:val="en-US" w:eastAsia="zh-CN"/>
        </w:rPr>
        <w:t>第五十九条、</w:t>
      </w:r>
      <w:r>
        <w:rPr>
          <w:rFonts w:hint="eastAsia" w:ascii="宋体" w:hAnsi="宋体" w:eastAsia="宋体" w:cs="宋体"/>
          <w:sz w:val="24"/>
          <w:szCs w:val="24"/>
          <w:highlight w:val="none"/>
        </w:rPr>
        <w:t>第六十四条</w:t>
      </w:r>
      <w:r>
        <w:rPr>
          <w:rFonts w:hint="eastAsia" w:ascii="宋体" w:hAnsi="宋体" w:eastAsia="宋体" w:cs="宋体"/>
          <w:sz w:val="24"/>
          <w:szCs w:val="24"/>
          <w:highlight w:val="none"/>
          <w:lang w:val="en-US" w:eastAsia="zh-CN"/>
        </w:rPr>
        <w:t>的规定，《关于以非现场方式召开债权人会议的方案》</w:t>
      </w:r>
      <w:r>
        <w:rPr>
          <w:rFonts w:hint="eastAsia" w:ascii="宋体" w:hAnsi="宋体" w:eastAsia="宋体" w:cs="宋体"/>
          <w:sz w:val="24"/>
          <w:szCs w:val="24"/>
          <w:highlight w:val="none"/>
        </w:rPr>
        <w:t>表决通过。</w:t>
      </w:r>
    </w:p>
    <w:p w14:paraId="1705CE35">
      <w:pPr>
        <w:keepNext w:val="0"/>
        <w:keepLines w:val="0"/>
        <w:pageBreakBefore w:val="0"/>
        <w:widowControl w:val="0"/>
        <w:kinsoku/>
        <w:wordWrap/>
        <w:overflowPunct/>
        <w:topLinePunct w:val="0"/>
        <w:autoSpaceDE/>
        <w:autoSpaceDN/>
        <w:bidi w:val="0"/>
        <w:spacing w:line="560" w:lineRule="exact"/>
        <w:ind w:right="0" w:firstLine="480" w:firstLineChars="200"/>
        <w:textAlignment w:val="auto"/>
        <w:rPr>
          <w:rFonts w:hint="eastAsia" w:ascii="宋体" w:hAnsi="宋体" w:eastAsia="宋体" w:cs="宋体"/>
          <w:kern w:val="0"/>
          <w:sz w:val="24"/>
          <w:szCs w:val="24"/>
          <w:highlight w:val="none"/>
          <w:lang w:val="en-US" w:eastAsia="zh-Hans"/>
        </w:rPr>
      </w:pPr>
      <w:r>
        <w:rPr>
          <w:rFonts w:hint="eastAsia" w:ascii="宋体" w:hAnsi="宋体" w:eastAsia="宋体" w:cs="宋体"/>
          <w:color w:val="000000" w:themeColor="text1"/>
          <w:sz w:val="24"/>
          <w:szCs w:val="24"/>
          <w:highlight w:val="none"/>
          <w:lang w:val="en-US" w:eastAsia="zh-Hans"/>
          <w14:textFill>
            <w14:solidFill>
              <w14:schemeClr w14:val="tx1"/>
            </w14:solidFill>
          </w14:textFill>
        </w:rPr>
        <w:t>综上</w:t>
      </w:r>
      <w:r>
        <w:rPr>
          <w:rFonts w:hint="eastAsia" w:ascii="宋体" w:hAnsi="宋体" w:eastAsia="宋体" w:cs="宋体"/>
          <w:color w:val="000000" w:themeColor="text1"/>
          <w:sz w:val="24"/>
          <w:szCs w:val="24"/>
          <w:highlight w:val="none"/>
          <w:lang w:eastAsia="zh-Hans"/>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璧山赋丰公司</w:t>
      </w:r>
      <w:r>
        <w:rPr>
          <w:rFonts w:hint="eastAsia" w:ascii="宋体" w:hAnsi="宋体" w:eastAsia="宋体" w:cs="宋体"/>
          <w:kern w:val="0"/>
          <w:sz w:val="24"/>
          <w:szCs w:val="24"/>
          <w:highlight w:val="none"/>
          <w:lang w:val="en-US" w:eastAsia="zh-CN"/>
        </w:rPr>
        <w:t>债权人会议</w:t>
      </w:r>
      <w:r>
        <w:rPr>
          <w:rFonts w:hint="eastAsia" w:ascii="宋体" w:hAnsi="宋体" w:eastAsia="宋体" w:cs="宋体"/>
          <w:kern w:val="0"/>
          <w:sz w:val="24"/>
          <w:szCs w:val="24"/>
          <w:highlight w:val="none"/>
          <w:lang w:val="en-US" w:eastAsia="zh-Hans"/>
        </w:rPr>
        <w:t>关于</w:t>
      </w:r>
      <w:r>
        <w:rPr>
          <w:rFonts w:hint="eastAsia" w:ascii="宋体" w:hAnsi="宋体" w:eastAsia="宋体" w:cs="宋体"/>
          <w:kern w:val="0"/>
          <w:sz w:val="24"/>
          <w:szCs w:val="24"/>
          <w:highlight w:val="none"/>
          <w:lang w:val="en-US" w:eastAsia="zh-CN"/>
        </w:rPr>
        <w:t>《财产管理方案》《破产财产变价方案》《破产财产分配方案》</w:t>
      </w:r>
      <w:r>
        <w:rPr>
          <w:rFonts w:hint="eastAsia" w:ascii="宋体" w:hAnsi="宋体" w:eastAsia="宋体" w:cs="宋体"/>
          <w:sz w:val="24"/>
          <w:szCs w:val="24"/>
          <w:highlight w:val="none"/>
        </w:rPr>
        <w:t>《关于以非现场方式召开债权人会议的方案》</w:t>
      </w:r>
      <w:r>
        <w:rPr>
          <w:rFonts w:hint="eastAsia" w:ascii="宋体" w:hAnsi="宋体" w:cs="宋体"/>
          <w:sz w:val="24"/>
          <w:szCs w:val="24"/>
          <w:highlight w:val="none"/>
          <w:lang w:val="en-US" w:eastAsia="zh-CN"/>
        </w:rPr>
        <w:t>均</w:t>
      </w:r>
      <w:r>
        <w:rPr>
          <w:rFonts w:hint="eastAsia" w:ascii="宋体" w:hAnsi="宋体" w:eastAsia="宋体" w:cs="宋体"/>
          <w:sz w:val="24"/>
          <w:szCs w:val="24"/>
          <w:highlight w:val="none"/>
        </w:rPr>
        <w:t>表决通过。</w:t>
      </w:r>
    </w:p>
    <w:p w14:paraId="72485C71">
      <w:pPr>
        <w:keepNext w:val="0"/>
        <w:keepLines w:val="0"/>
        <w:pageBreakBefore w:val="0"/>
        <w:widowControl w:val="0"/>
        <w:kinsoku/>
        <w:wordWrap/>
        <w:overflowPunct/>
        <w:topLinePunct w:val="0"/>
        <w:autoSpaceDE/>
        <w:autoSpaceDN/>
        <w:bidi w:val="0"/>
        <w:spacing w:line="560" w:lineRule="exact"/>
        <w:ind w:right="0"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特此报告</w:t>
      </w:r>
      <w:r>
        <w:rPr>
          <w:rFonts w:hint="eastAsia" w:ascii="宋体" w:hAnsi="宋体" w:cs="宋体"/>
          <w:color w:val="000000" w:themeColor="text1"/>
          <w:sz w:val="24"/>
          <w:szCs w:val="24"/>
          <w:highlight w:val="none"/>
          <w:lang w:eastAsia="zh-CN"/>
          <w14:textFill>
            <w14:solidFill>
              <w14:schemeClr w14:val="tx1"/>
            </w14:solidFill>
          </w14:textFill>
        </w:rPr>
        <w:t>。</w:t>
      </w:r>
    </w:p>
    <w:p w14:paraId="5C6D5E76">
      <w:pPr>
        <w:keepNext w:val="0"/>
        <w:keepLines w:val="0"/>
        <w:pageBreakBefore w:val="0"/>
        <w:widowControl w:val="0"/>
        <w:kinsoku/>
        <w:wordWrap/>
        <w:overflowPunct/>
        <w:topLinePunct w:val="0"/>
        <w:autoSpaceDE/>
        <w:autoSpaceDN/>
        <w:bidi w:val="0"/>
        <w:spacing w:line="560" w:lineRule="exact"/>
        <w:ind w:right="0"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053890B">
      <w:pPr>
        <w:keepNext w:val="0"/>
        <w:keepLines w:val="0"/>
        <w:pageBreakBefore w:val="0"/>
        <w:widowControl w:val="0"/>
        <w:kinsoku/>
        <w:wordWrap/>
        <w:overflowPunct/>
        <w:topLinePunct w:val="0"/>
        <w:autoSpaceDE/>
        <w:autoSpaceDN/>
        <w:bidi w:val="0"/>
        <w:spacing w:line="560" w:lineRule="exact"/>
        <w:ind w:right="0"/>
        <w:jc w:val="righ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z w:val="24"/>
          <w:lang w:val="en-US" w:eastAsia="zh-CN"/>
        </w:rPr>
        <w:t>重庆市璧山赋丰汽摩配件有限责任公司</w:t>
      </w:r>
      <w:r>
        <w:rPr>
          <w:rFonts w:hint="eastAsia" w:ascii="宋体" w:hAnsi="宋体" w:eastAsia="宋体" w:cs="宋体"/>
          <w:color w:val="000000" w:themeColor="text1"/>
          <w:sz w:val="24"/>
          <w:szCs w:val="24"/>
          <w:highlight w:val="none"/>
          <w14:textFill>
            <w14:solidFill>
              <w14:schemeClr w14:val="tx1"/>
            </w14:solidFill>
          </w14:textFill>
        </w:rPr>
        <w:t>管理人</w:t>
      </w:r>
    </w:p>
    <w:p w14:paraId="4E5FCCDA">
      <w:pPr>
        <w:keepNext w:val="0"/>
        <w:keepLines w:val="0"/>
        <w:pageBreakBefore w:val="0"/>
        <w:widowControl w:val="0"/>
        <w:kinsoku/>
        <w:wordWrap w:val="0"/>
        <w:overflowPunct/>
        <w:topLinePunct w:val="0"/>
        <w:autoSpaceDE/>
        <w:autoSpaceDN/>
        <w:bidi w:val="0"/>
        <w:spacing w:line="560" w:lineRule="exact"/>
        <w:ind w:right="0" w:firstLine="480" w:firstLineChars="200"/>
        <w:jc w:val="right"/>
        <w:textAlignment w:val="auto"/>
        <w:rPr>
          <w:rFonts w:hint="default" w:ascii="宋体" w:hAnsi="宋体" w:eastAsia="宋体" w:cs="宋体"/>
          <w:sz w:val="24"/>
          <w:szCs w:val="24"/>
          <w:highlight w:val="none"/>
          <w:lang w:val="en-US" w:eastAsia="zh-CN"/>
        </w:rPr>
      </w:pPr>
      <w:r>
        <w:rPr>
          <w:rFonts w:hint="eastAsia" w:ascii="宋体" w:hAnsi="宋体" w:eastAsia="宋体" w:cs="宋体"/>
          <w:color w:val="000000" w:themeColor="text1"/>
          <w:sz w:val="24"/>
          <w:szCs w:val="24"/>
          <w:highlight w:val="none"/>
          <w14:textFill>
            <w14:solidFill>
              <w14:schemeClr w14:val="tx1"/>
            </w14:solidFill>
          </w14:textFill>
        </w:rPr>
        <w:t>二〇二</w:t>
      </w:r>
      <w:r>
        <w:rPr>
          <w:rFonts w:hint="eastAsia" w:ascii="宋体" w:hAnsi="宋体" w:cs="宋体"/>
          <w:color w:val="000000" w:themeColor="text1"/>
          <w:sz w:val="24"/>
          <w:szCs w:val="24"/>
          <w:highlight w:val="none"/>
          <w:lang w:val="en-US" w:eastAsia="zh-CN"/>
          <w14:textFill>
            <w14:solidFill>
              <w14:schemeClr w14:val="tx1"/>
            </w14:solidFill>
          </w14:textFill>
        </w:rPr>
        <w:t>六</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lang w:val="en-US" w:eastAsia="zh-CN"/>
          <w14:textFill>
            <w14:solidFill>
              <w14:schemeClr w14:val="tx1"/>
            </w14:solidFill>
          </w14:textFill>
        </w:rPr>
        <w:t>十一</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日</w:t>
      </w:r>
    </w:p>
    <w:p w14:paraId="5C864E21">
      <w:pPr>
        <w:rPr>
          <w:highlight w:val="none"/>
        </w:rPr>
      </w:pPr>
    </w:p>
    <w:sectPr>
      <w:footerReference r:id="rId3" w:type="default"/>
      <w:footerReference r:id="rId4" w:type="even"/>
      <w:pgSz w:w="11906" w:h="16838"/>
      <w:pgMar w:top="1440" w:right="1800" w:bottom="1440" w:left="1800" w:header="851" w:footer="992" w:gutter="0"/>
      <w:pgNumType w:fmt="numberInDash" w:chapStyle="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542B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C20B3F">
                          <w:pPr>
                            <w:pStyle w:val="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C20B3F">
                    <w:pPr>
                      <w:pStyle w:val="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5"/>
      </w:rPr>
      <w:id w:val="239060609"/>
    </w:sdtPr>
    <w:sdtEndPr>
      <w:rPr>
        <w:rStyle w:val="5"/>
      </w:rPr>
    </w:sdtEndPr>
    <w:sdtContent>
      <w:p w14:paraId="69C223ED">
        <w:pPr>
          <w:pStyle w:val="2"/>
          <w:framePr w:wrap="around" w:vAnchor="text" w:hAnchor="margin" w:xAlign="center" w:y="1"/>
          <w:rPr>
            <w:rStyle w:val="5"/>
          </w:rPr>
        </w:pPr>
        <w:r>
          <w:rPr>
            <w:rStyle w:val="5"/>
          </w:rPr>
          <w:fldChar w:fldCharType="begin"/>
        </w:r>
        <w:r>
          <w:rPr>
            <w:rStyle w:val="5"/>
          </w:rPr>
          <w:instrText xml:space="preserve"> PAGE </w:instrText>
        </w:r>
        <w:r>
          <w:rPr>
            <w:rStyle w:val="5"/>
          </w:rPr>
          <w:fldChar w:fldCharType="end"/>
        </w:r>
      </w:p>
    </w:sdtContent>
  </w:sdt>
  <w:p w14:paraId="750B3534">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kMTVmNmRlODZiMzdlYTNiMTZjOGU5ODliODdhMGQifQ=="/>
  </w:docVars>
  <w:rsids>
    <w:rsidRoot w:val="00000000"/>
    <w:rsid w:val="075B26D3"/>
    <w:rsid w:val="07F7667D"/>
    <w:rsid w:val="0A8E1F88"/>
    <w:rsid w:val="119C142F"/>
    <w:rsid w:val="11AD186A"/>
    <w:rsid w:val="13D03611"/>
    <w:rsid w:val="17253C74"/>
    <w:rsid w:val="186B56B7"/>
    <w:rsid w:val="18EE0096"/>
    <w:rsid w:val="1BC05D1A"/>
    <w:rsid w:val="1D750D86"/>
    <w:rsid w:val="1EDC730E"/>
    <w:rsid w:val="1F792DAF"/>
    <w:rsid w:val="211851EA"/>
    <w:rsid w:val="216830DB"/>
    <w:rsid w:val="23694EE9"/>
    <w:rsid w:val="29D74598"/>
    <w:rsid w:val="29FB2613"/>
    <w:rsid w:val="2EA17C2D"/>
    <w:rsid w:val="2EF91817"/>
    <w:rsid w:val="327F1EE7"/>
    <w:rsid w:val="332E4639"/>
    <w:rsid w:val="3A0E2FED"/>
    <w:rsid w:val="3ADB6274"/>
    <w:rsid w:val="3E9B708B"/>
    <w:rsid w:val="3F2521B4"/>
    <w:rsid w:val="47840D34"/>
    <w:rsid w:val="478657BA"/>
    <w:rsid w:val="4B661B8A"/>
    <w:rsid w:val="4BBE3774"/>
    <w:rsid w:val="4D04165B"/>
    <w:rsid w:val="4D1D271C"/>
    <w:rsid w:val="4F3D69FA"/>
    <w:rsid w:val="50AA076B"/>
    <w:rsid w:val="57EA3B43"/>
    <w:rsid w:val="5829466B"/>
    <w:rsid w:val="58613E05"/>
    <w:rsid w:val="606A3A73"/>
    <w:rsid w:val="609419D7"/>
    <w:rsid w:val="60E17538"/>
    <w:rsid w:val="61016185"/>
    <w:rsid w:val="618A1D44"/>
    <w:rsid w:val="61DC274E"/>
    <w:rsid w:val="6236F38E"/>
    <w:rsid w:val="638F5C34"/>
    <w:rsid w:val="64AC76AE"/>
    <w:rsid w:val="68140490"/>
    <w:rsid w:val="6CB77360"/>
    <w:rsid w:val="6D716441"/>
    <w:rsid w:val="70497201"/>
    <w:rsid w:val="73411922"/>
    <w:rsid w:val="75DB2C6B"/>
    <w:rsid w:val="796706F8"/>
    <w:rsid w:val="7A0A5C53"/>
    <w:rsid w:val="7B445194"/>
    <w:rsid w:val="7CE24C65"/>
    <w:rsid w:val="7D057914"/>
    <w:rsid w:val="7E5FA0A4"/>
    <w:rsid w:val="7FF627D5"/>
    <w:rsid w:val="7FFFA76B"/>
    <w:rsid w:val="853E482D"/>
    <w:rsid w:val="ED979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1355</Words>
  <Characters>1502</Characters>
  <Lines>0</Lines>
  <Paragraphs>0</Paragraphs>
  <TotalTime>10</TotalTime>
  <ScaleCrop>false</ScaleCrop>
  <LinksUpToDate>false</LinksUpToDate>
  <CharactersWithSpaces>1502</CharactersWithSpaces>
  <Application>WPS Office_12.1.25869.25869_F1E327BC-269C-435d-A152-05C5408002CA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2025-09-19T18:46:00Z</dcterms:created>
  <dc:creator>高</dc:creator>
  <cp:lastModifiedBy>可爱的不像话</cp:lastModifiedBy>
  <cp:lastPrinted>2026-05-19T02:49:00Z</cp:lastPrinted>
  <dcterms:modified xsi:type="dcterms:W3CDTF">2026-11-02T15:33:41Z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2052-12.1.25869.25869</vt:lpwstr>
  </property>
  <property fmtid="{D5CDD505-2E9C-101B-9397-08002B2CF9AE}" pid="3" name="KSOTemplateDocerSaveRecord">
    <vt:lpwstr>eyJoZGlkIjoiM2VlMjM5M2M4MTBjNTFhZDQxZDE0YTIzMTA0N2Q5ZWIiLCJ1c2VySWQiOiI0OTY3OTIyMTIifQ==</vt:lpwstr>
  </property>
  <property fmtid="{D5CDD505-2E9C-101B-9397-08002B2CF9AE}" pid="4" name="ICV">
    <vt:lpwstr>1EC50C5EC420DC24D53CE86A796932ED_43</vt:lpwstr>
  </property>
</Properties>
</file>