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EC8C6">
      <w:pPr>
        <w:keepNext/>
        <w:spacing w:after="140" w:line="360" w:lineRule="auto"/>
        <w:jc w:val="center"/>
        <w:rPr>
          <w:rFonts w:hint="eastAsia" w:ascii="Kaiti SC Regular" w:hAnsi="Kaiti SC Regular" w:eastAsia="Kaiti SC Regular" w:cs="Kaiti SC Regular"/>
          <w:sz w:val="28"/>
          <w:szCs w:val="28"/>
          <w:lang w:eastAsia="zh-CN"/>
        </w:rPr>
      </w:pPr>
      <w:bookmarkStart w:id="0" w:name="_GoBack"/>
      <w:bookmarkEnd w:id="0"/>
      <w:r>
        <w:rPr>
          <w:rFonts w:hint="eastAsia" w:ascii="Kaiti SC Regular" w:hAnsi="Kaiti SC Regular" w:eastAsia="Kaiti SC Regular" w:cs="Kaiti SC Regular"/>
          <w:b/>
          <w:sz w:val="28"/>
          <w:szCs w:val="28"/>
          <w:lang w:eastAsia="zh-CN"/>
        </w:rPr>
        <w:t>联方云天科技（北京）有限公司破产清算案</w:t>
      </w:r>
      <w:r>
        <w:rPr>
          <w:rFonts w:hint="eastAsia" w:ascii="Kaiti SC Regular" w:hAnsi="Kaiti SC Regular" w:eastAsia="Kaiti SC Regular" w:cs="Kaiti SC Regular"/>
          <w:sz w:val="28"/>
          <w:szCs w:val="28"/>
          <w:lang w:eastAsia="zh-CN"/>
        </w:rPr>
        <w:br w:type="textWrapping"/>
      </w:r>
      <w:r>
        <w:rPr>
          <w:rFonts w:hint="eastAsia" w:ascii="Kaiti SC Regular" w:hAnsi="Kaiti SC Regular" w:eastAsia="Kaiti SC Regular" w:cs="Kaiti SC Regular"/>
          <w:b/>
          <w:sz w:val="28"/>
          <w:szCs w:val="28"/>
          <w:lang w:eastAsia="zh-CN"/>
        </w:rPr>
        <w:t>重整投资人预招募公告</w:t>
      </w:r>
    </w:p>
    <w:p w14:paraId="09D936D7">
      <w:pPr>
        <w:spacing w:line="360" w:lineRule="auto"/>
        <w:ind w:firstLine="480"/>
        <w:jc w:val="both"/>
        <w:rPr>
          <w:rFonts w:hint="eastAsia" w:ascii="Kaiti SC Regular" w:hAnsi="Kaiti SC Regular" w:eastAsia="Kaiti SC Regular" w:cs="Kaiti SC Regular"/>
          <w:szCs w:val="24"/>
          <w:lang w:eastAsia="zh-CN"/>
        </w:rPr>
      </w:pPr>
    </w:p>
    <w:p w14:paraId="6D198096">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2026年8月28日，北京市第一中级人民法院作出（2026）京01破申875号民事裁定书，裁定受理联方云天科技（北京）有限公司（以下简称“联方云天公司”或“债务人”）提出的破产清算申请；2026年9月10日，该院作出（2026）京01破388号决定书，指定北京市康达律师事务所担任联方云天公司管理人（以下简称“管理人”）。</w:t>
      </w:r>
    </w:p>
    <w:p w14:paraId="0666FA53">
      <w:pPr>
        <w:spacing w:line="360" w:lineRule="auto"/>
        <w:ind w:firstLine="480"/>
        <w:jc w:val="both"/>
        <w:rPr>
          <w:rFonts w:hint="eastAsia" w:ascii="Kaiti SC Regular" w:hAnsi="Kaiti SC Regular" w:eastAsia="Kaiti SC Regular" w:cs="Kaiti SC Regular"/>
          <w:szCs w:val="24"/>
          <w:lang w:eastAsia="zh-CN"/>
        </w:rPr>
      </w:pPr>
    </w:p>
    <w:p w14:paraId="379DF122">
      <w:pPr>
        <w:spacing w:line="360" w:lineRule="auto"/>
        <w:ind w:firstLine="480"/>
        <w:jc w:val="both"/>
        <w:rPr>
          <w:rFonts w:hint="eastAsia" w:ascii="Kaiti SC Regular" w:hAnsi="Kaiti SC Regular" w:eastAsia="Kaiti SC Regular" w:cs="Kaiti SC Regular"/>
          <w:szCs w:val="24"/>
        </w:rPr>
      </w:pPr>
      <w:r>
        <w:rPr>
          <w:rFonts w:hint="eastAsia" w:ascii="Kaiti SC Regular" w:hAnsi="Kaiti SC Regular" w:eastAsia="Kaiti SC Regular" w:cs="Kaiti SC Regular"/>
          <w:szCs w:val="24"/>
          <w:lang w:eastAsia="zh-CN"/>
        </w:rPr>
        <w:t>为充分发现和识别联方云天公司的重整价值及重整可行性，维护债权人等各方合法权益，促进技术、业务与资产资源的有效整合，管理人现面向社会公开预招募重整意向投资人，并同步征集与相关企业、业务板块协同投资的方案。</w:t>
      </w:r>
      <w:r>
        <w:rPr>
          <w:rFonts w:hint="eastAsia" w:ascii="Kaiti SC Regular" w:hAnsi="Kaiti SC Regular" w:eastAsia="Kaiti SC Regular" w:cs="Kaiti SC Regular"/>
          <w:szCs w:val="24"/>
        </w:rPr>
        <w:t>现将有关事项公告如下：</w:t>
      </w:r>
    </w:p>
    <w:p w14:paraId="41387AEC">
      <w:pPr>
        <w:spacing w:line="360" w:lineRule="auto"/>
        <w:ind w:firstLine="480"/>
        <w:jc w:val="both"/>
        <w:rPr>
          <w:rFonts w:hint="eastAsia" w:ascii="Kaiti SC Regular" w:hAnsi="Kaiti SC Regular" w:eastAsia="Kaiti SC Regular" w:cs="Kaiti SC Regular"/>
          <w:szCs w:val="24"/>
        </w:rPr>
      </w:pPr>
    </w:p>
    <w:p w14:paraId="2ED073D8">
      <w:pPr>
        <w:pStyle w:val="3"/>
        <w:spacing w:line="360" w:lineRule="auto"/>
        <w:rPr>
          <w:rFonts w:hint="eastAsia" w:ascii="Kaiti SC Regular" w:hAnsi="Kaiti SC Regular" w:eastAsia="Kaiti SC Regular" w:cs="Kaiti SC Regular"/>
          <w:sz w:val="24"/>
          <w:szCs w:val="24"/>
        </w:rPr>
      </w:pPr>
      <w:r>
        <w:rPr>
          <w:rFonts w:hint="eastAsia" w:ascii="Kaiti SC Regular" w:hAnsi="Kaiti SC Regular" w:eastAsia="Kaiti SC Regular" w:cs="Kaiti SC Regular"/>
          <w:sz w:val="24"/>
          <w:szCs w:val="24"/>
        </w:rPr>
        <w:t>重要提示</w:t>
      </w:r>
    </w:p>
    <w:p w14:paraId="0DF90395">
      <w:pPr>
        <w:numPr>
          <w:ilvl w:val="0"/>
          <w:numId w:val="7"/>
        </w:num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b/>
          <w:szCs w:val="24"/>
          <w:lang w:eastAsia="zh-CN"/>
        </w:rPr>
        <w:t>本案现处于破产清算程序。本次预招募不等于法院已裁定重整或启动预重整程序，亦不代表联方云天公司必然能够转入重整。</w:t>
      </w:r>
      <w:r>
        <w:rPr>
          <w:rFonts w:hint="eastAsia" w:ascii="Kaiti SC Regular" w:hAnsi="Kaiti SC Regular" w:eastAsia="Kaiti SC Regular" w:cs="Kaiti SC Regular"/>
          <w:szCs w:val="24"/>
          <w:lang w:eastAsia="zh-CN"/>
        </w:rPr>
        <w:t>如经论证具备重整条件，管理人将依法推动具备申请资格的主体在法定阶段申请重整，并向法院报告相关论证意见；是否转入重整、重整计划能否获准及执行，均存在不确定性。</w:t>
      </w:r>
    </w:p>
    <w:p w14:paraId="250B2400">
      <w:pPr>
        <w:spacing w:line="360" w:lineRule="auto"/>
        <w:jc w:val="both"/>
        <w:rPr>
          <w:rFonts w:hint="eastAsia" w:ascii="Kaiti SC Regular" w:hAnsi="Kaiti SC Regular" w:eastAsia="Kaiti SC Regular" w:cs="Kaiti SC Regular"/>
          <w:szCs w:val="24"/>
          <w:lang w:eastAsia="zh-CN"/>
        </w:rPr>
      </w:pPr>
    </w:p>
    <w:p w14:paraId="3770E8AB">
      <w:pPr>
        <w:numPr>
          <w:ilvl w:val="0"/>
          <w:numId w:val="7"/>
        </w:num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b/>
          <w:szCs w:val="24"/>
          <w:lang w:eastAsia="zh-CN"/>
        </w:rPr>
        <w:t>本次预招募的程序主体为联方云天公司，发布人为其管理人。</w:t>
      </w:r>
      <w:r>
        <w:rPr>
          <w:rFonts w:hint="eastAsia" w:ascii="Kaiti SC Regular" w:hAnsi="Kaiti SC Regular" w:eastAsia="Kaiti SC Regular" w:cs="Kaiti SC Regular"/>
          <w:szCs w:val="24"/>
          <w:lang w:eastAsia="zh-CN"/>
        </w:rPr>
        <w:t>对关联企业的介绍及协同方案征集，不代表相关企业已进入本案破产程序、已实施实质合并或其财产可由本管理人直接处分。涉及关联企业股权、财产或营业的交易，应分别取得相应权利基础并履行必要决策、审批及司法程序。</w:t>
      </w:r>
    </w:p>
    <w:p w14:paraId="019ACBB4">
      <w:pPr>
        <w:spacing w:line="360" w:lineRule="auto"/>
        <w:ind w:left="480"/>
        <w:jc w:val="both"/>
        <w:rPr>
          <w:rFonts w:hint="eastAsia" w:ascii="Kaiti SC Regular" w:hAnsi="Kaiti SC Regular" w:eastAsia="Kaiti SC Regular" w:cs="Kaiti SC Regular"/>
          <w:szCs w:val="24"/>
          <w:lang w:eastAsia="zh-CN"/>
        </w:rPr>
      </w:pPr>
    </w:p>
    <w:p w14:paraId="2A857B3A">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b/>
          <w:szCs w:val="24"/>
          <w:lang w:eastAsia="zh-CN"/>
        </w:rPr>
        <w:t>三、本公告为投资意向征集及要约邀请，不构成股权、资产出售或投资收益的承诺。</w:t>
      </w:r>
      <w:r>
        <w:rPr>
          <w:rFonts w:hint="eastAsia" w:ascii="Kaiti SC Regular" w:hAnsi="Kaiti SC Regular" w:eastAsia="Kaiti SC Regular" w:cs="Kaiti SC Regular"/>
          <w:szCs w:val="24"/>
          <w:lang w:eastAsia="zh-CN"/>
        </w:rPr>
        <w:t>报名、尽调或入围均不当然取得正式投资人资格、排他谈判权、优先购买权或优先受偿权。保密、资料真实性等明确约定的义务，不因本公告不具有投资协议效力而免除。</w:t>
      </w:r>
    </w:p>
    <w:p w14:paraId="5DD53ACF">
      <w:pPr>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br w:type="page"/>
      </w:r>
    </w:p>
    <w:p w14:paraId="583DFB44">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一、企业及项目基本情况</w:t>
      </w:r>
    </w:p>
    <w:p w14:paraId="5CDD3C9D">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（一）联方云天公司基本信息</w:t>
      </w:r>
    </w:p>
    <w:p w14:paraId="2E6B35DE">
      <w:pPr>
        <w:keepNext/>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根据法院受理裁定及债务人提交的资料，联方云天公司的基本信息如下：</w:t>
      </w:r>
    </w:p>
    <w:tbl>
      <w:tblPr>
        <w:tblStyle w:val="32"/>
        <w:tblW w:w="0" w:type="auto"/>
        <w:jc w:val="center"/>
        <w:tblLayout w:type="fixed"/>
        <w:tblCellMar>
          <w:top w:w="0" w:type="dxa"/>
          <w:left w:w="108" w:type="dxa"/>
          <w:bottom w:w="0" w:type="dxa"/>
          <w:right w:w="108" w:type="dxa"/>
        </w:tblCellMar>
      </w:tblPr>
      <w:tblGrid>
        <w:gridCol w:w="1843"/>
        <w:gridCol w:w="7398"/>
      </w:tblGrid>
      <w:tr w14:paraId="01B9B450">
        <w:trPr>
          <w:cantSplit/>
          <w:tblHeader/>
          <w:jc w:val="center"/>
        </w:trPr>
        <w:tc>
          <w:tcPr>
            <w:tcW w:w="1843"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61FE4F87">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b/>
                <w:sz w:val="21"/>
                <w:szCs w:val="21"/>
              </w:rPr>
              <w:t>项目</w:t>
            </w:r>
          </w:p>
        </w:tc>
        <w:tc>
          <w:tcPr>
            <w:tcW w:w="7398"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743DCBA0">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b/>
                <w:sz w:val="21"/>
                <w:szCs w:val="21"/>
              </w:rPr>
              <w:t>内容</w:t>
            </w:r>
          </w:p>
        </w:tc>
      </w:tr>
      <w:tr w14:paraId="4ADA93A8">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C4705DA">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企业名称</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BB85D27">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联方云天科技（北京）有限公司</w:t>
            </w:r>
          </w:p>
        </w:tc>
      </w:tr>
      <w:tr w14:paraId="3444455A">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E5F82DA">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统一社会信用代码</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12BB178">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91110105589065287Q</w:t>
            </w:r>
          </w:p>
        </w:tc>
      </w:tr>
      <w:tr w14:paraId="1B160827">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A2551CE">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成立日期</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4C029F2">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2012年3月1日</w:t>
            </w:r>
          </w:p>
        </w:tc>
      </w:tr>
      <w:tr w14:paraId="4E4B9FF8">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7436E79">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注册资本</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0F1FB8A">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人民币9,009.1134万元</w:t>
            </w:r>
          </w:p>
        </w:tc>
      </w:tr>
      <w:tr w14:paraId="0B512838">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644C7D5">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法定代表人</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7B30EF1">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曾旭东</w:t>
            </w:r>
          </w:p>
        </w:tc>
      </w:tr>
      <w:tr w14:paraId="375CC725">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38098B4">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企业类型</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76EF93F">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有限责任公司（外商投资、非独资）</w:t>
            </w:r>
          </w:p>
        </w:tc>
      </w:tr>
      <w:tr w14:paraId="65974E4E">
        <w:trPr>
          <w:cantSplit/>
          <w:jc w:val="center"/>
        </w:trPr>
        <w:tc>
          <w:tcPr>
            <w:tcW w:w="1843"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D50A76F">
            <w:pPr>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住所地</w:t>
            </w:r>
          </w:p>
        </w:tc>
        <w:tc>
          <w:tcPr>
            <w:tcW w:w="739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A345B17">
            <w:pPr>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北京市朝阳区酒仙桥东路1号院8号楼4层C厅401室</w:t>
            </w:r>
          </w:p>
        </w:tc>
      </w:tr>
    </w:tbl>
    <w:p w14:paraId="78A3F514">
      <w:pPr>
        <w:spacing w:after="0" w:line="360" w:lineRule="auto"/>
        <w:rPr>
          <w:rFonts w:hint="eastAsia" w:ascii="Kaiti SC Regular" w:hAnsi="Kaiti SC Regular" w:eastAsia="Kaiti SC Regular" w:cs="Kaiti SC Regular"/>
          <w:szCs w:val="24"/>
          <w:lang w:eastAsia="zh-CN"/>
        </w:rPr>
      </w:pPr>
    </w:p>
    <w:p w14:paraId="44FDEBF0">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主要业务为通信运营商及大型企业数据中心、通信机房供电及备源系统设备的研发、销售，以及设备运行维护、技术支持等。登记经营范围包括计算机软硬件研发、技术开发及服务、数据处理、计算机系统服务、相关设备批发及进出口、转让自有技术、委托加工通讯设备及锂离子电池等，具体以登记信息为准。</w:t>
      </w:r>
    </w:p>
    <w:p w14:paraId="5C5130C6">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法院受理裁定列示的股东包括GCCAlliance Inc.、曙光信息产业股份有限公司、珠海正方金融投资有限公司、珠海联瀚管理咨询合伙企业（有限合伙）、苏州金沙江联合三期股权投资合伙企业（有限合伙）、苏州中新博通金世创业投资合伙企业（有限合伙）。股东背景不构成任何股东对本次投资、债务清偿或企业经营的担保及支持承诺。</w:t>
      </w:r>
    </w:p>
    <w:p w14:paraId="31C90CEC">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（二）主要业务、技术及相关资产情况</w:t>
      </w:r>
    </w:p>
    <w:p w14:paraId="09019048">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结合债务人提交的财产清单、知识产权资料及企业官网公开产品资料，项目涉及分布式供电及备源、高压直流、锂电池系统、微模块数据中心和工商业储能等技术与业务方向。投资人可重点考察以下资源的整合利用可能性：</w:t>
      </w:r>
    </w:p>
    <w:p w14:paraId="1C08C5C4">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1. </w:t>
      </w:r>
      <w:r>
        <w:rPr>
          <w:rFonts w:hint="eastAsia" w:ascii="Kaiti SC Regular" w:hAnsi="Kaiti SC Regular" w:eastAsia="Kaiti SC Regular" w:cs="Kaiti SC Regular"/>
          <w:b/>
          <w:szCs w:val="24"/>
          <w:lang w:eastAsia="zh-CN"/>
        </w:rPr>
        <w:t>产品与技术。</w:t>
      </w:r>
      <w:r>
        <w:rPr>
          <w:rFonts w:hint="eastAsia" w:ascii="Kaiti SC Regular" w:hAnsi="Kaiti SC Regular" w:eastAsia="Kaiti SC Regular" w:cs="Kaiti SC Regular"/>
          <w:szCs w:val="24"/>
          <w:lang w:eastAsia="zh-CN"/>
        </w:rPr>
        <w:t>分布式电源系统（DPS）、不间断电源（UPS）、高压直流（HVDC）供电、锂电池组及储能系统（BESS），以及电池管理系统（BMS）、能量管理系统（EMS）、数据中心监控管理等相关软件与技术资料。具体技术归属、成熟程度及可交付内容，应逐项核查。</w:t>
      </w:r>
    </w:p>
    <w:p w14:paraId="1797BF1B">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2. </w:t>
      </w:r>
      <w:r>
        <w:rPr>
          <w:rFonts w:hint="eastAsia" w:ascii="Kaiti SC Regular" w:hAnsi="Kaiti SC Regular" w:eastAsia="Kaiti SC Regular" w:cs="Kaiti SC Regular"/>
          <w:b/>
          <w:szCs w:val="24"/>
          <w:lang w:eastAsia="zh-CN"/>
        </w:rPr>
        <w:t>知识产权。</w:t>
      </w:r>
      <w:r>
        <w:rPr>
          <w:rFonts w:hint="eastAsia" w:ascii="Kaiti SC Regular" w:hAnsi="Kaiti SC Regular" w:eastAsia="Kaiti SC Regular" w:cs="Kaiti SC Regular"/>
          <w:szCs w:val="24"/>
          <w:lang w:eastAsia="zh-CN"/>
        </w:rPr>
        <w:t>已提交资料列有分布式动态均衡供电、高压直流供电管理、绝缘检测、锂电池均衡控制等专利及相关软件著作权。资料同时包含不同主体名下、处于不同法律状态的权利及申请，</w:t>
      </w:r>
      <w:r>
        <w:rPr>
          <w:rFonts w:hint="eastAsia" w:ascii="Kaiti SC Regular" w:hAnsi="Kaiti SC Regular" w:eastAsia="Kaiti SC Regular" w:cs="Kaiti SC Regular"/>
          <w:b/>
          <w:szCs w:val="24"/>
          <w:lang w:eastAsia="zh-CN"/>
        </w:rPr>
        <w:t>不应将清单条目数等同于现存有效、可交割的知识产权数量</w:t>
      </w:r>
      <w:r>
        <w:rPr>
          <w:rFonts w:hint="eastAsia" w:ascii="Kaiti SC Regular" w:hAnsi="Kaiti SC Regular" w:eastAsia="Kaiti SC Regular" w:cs="Kaiti SC Regular"/>
          <w:szCs w:val="24"/>
          <w:lang w:eastAsia="zh-CN"/>
        </w:rPr>
        <w:t>。权属、有效性、年费、质押、许可及源代码完整性，以依法核查和交付条件确认结果为准。</w:t>
      </w:r>
    </w:p>
    <w:p w14:paraId="338B2C8D">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3. </w:t>
      </w:r>
      <w:r>
        <w:rPr>
          <w:rFonts w:hint="eastAsia" w:ascii="Kaiti SC Regular" w:hAnsi="Kaiti SC Regular" w:eastAsia="Kaiti SC Regular" w:cs="Kaiti SC Regular"/>
          <w:b/>
          <w:szCs w:val="24"/>
          <w:lang w:eastAsia="zh-CN"/>
        </w:rPr>
        <w:t>设备、存货及应收款。</w:t>
      </w:r>
      <w:r>
        <w:rPr>
          <w:rFonts w:hint="eastAsia" w:ascii="Kaiti SC Regular" w:hAnsi="Kaiti SC Regular" w:eastAsia="Kaiti SC Regular" w:cs="Kaiti SC Regular"/>
          <w:szCs w:val="24"/>
          <w:lang w:eastAsia="zh-CN"/>
        </w:rPr>
        <w:t>现有资料列有研发检测设备、电子及办公设备、备件、整流模块、电池模块、机柜等存货，以及应收账款、预付款、其他应收款等。关联企业资料另列有珠海生产检测设备、方形及圆柱储能模组PACK线等。不同主体财产须分别核查；库存存在统一保管及归属需进一步厘清的情况，不能直接视为债务人独有财产。</w:t>
      </w:r>
    </w:p>
    <w:p w14:paraId="7D38EA78">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4. </w:t>
      </w:r>
      <w:r>
        <w:rPr>
          <w:rFonts w:hint="eastAsia" w:ascii="Kaiti SC Regular" w:hAnsi="Kaiti SC Regular" w:eastAsia="Kaiti SC Regular" w:cs="Kaiti SC Regular"/>
          <w:b/>
          <w:szCs w:val="24"/>
          <w:lang w:eastAsia="zh-CN"/>
        </w:rPr>
        <w:t>业务与服务资源。</w:t>
      </w:r>
      <w:r>
        <w:rPr>
          <w:rFonts w:hint="eastAsia" w:ascii="Kaiti SC Regular" w:hAnsi="Kaiti SC Regular" w:eastAsia="Kaiti SC Regular" w:cs="Kaiti SC Regular"/>
          <w:szCs w:val="24"/>
          <w:lang w:eastAsia="zh-CN"/>
        </w:rPr>
        <w:t>历史项目、产品技术文档及维保技术积累，可作为投资人评估恢复销售、存量产品服务或业务整合的线索。历史客户、项目案例和官网宣传不代表现有订单、持续收入、客户续约或人员留任；有关业务关系能否延续，由尽职调查及相关方协商确定。</w:t>
      </w:r>
    </w:p>
    <w:p w14:paraId="0B880837">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（三）对外投资及关联企业范围</w:t>
      </w:r>
    </w:p>
    <w:p w14:paraId="7CAFDAF4">
      <w:pPr>
        <w:keepNext/>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债务人提交的财产状况说明列示以下对外投资。下列比例属于已提交资料记载，并非本公告对现时股权权属、出资履行及权利负担的最终确认：</w:t>
      </w:r>
    </w:p>
    <w:tbl>
      <w:tblPr>
        <w:tblStyle w:val="32"/>
        <w:tblW w:w="0" w:type="auto"/>
        <w:jc w:val="center"/>
        <w:tblLayout w:type="fixed"/>
        <w:tblCellMar>
          <w:top w:w="0" w:type="dxa"/>
          <w:left w:w="108" w:type="dxa"/>
          <w:bottom w:w="0" w:type="dxa"/>
          <w:right w:w="108" w:type="dxa"/>
        </w:tblCellMar>
      </w:tblPr>
      <w:tblGrid>
        <w:gridCol w:w="4148"/>
        <w:gridCol w:w="2116"/>
        <w:gridCol w:w="2976"/>
      </w:tblGrid>
      <w:tr w14:paraId="6EA09CE1">
        <w:trPr>
          <w:cantSplit/>
          <w:trHeight w:val="642" w:hRule="atLeast"/>
          <w:tblHeader/>
          <w:jc w:val="center"/>
        </w:trPr>
        <w:tc>
          <w:tcPr>
            <w:tcW w:w="4148"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016FAC98">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b/>
                <w:sz w:val="21"/>
                <w:szCs w:val="21"/>
              </w:rPr>
              <w:t>被投资企业</w:t>
            </w:r>
          </w:p>
        </w:tc>
        <w:tc>
          <w:tcPr>
            <w:tcW w:w="2116"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343CF0B4">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b/>
                <w:sz w:val="21"/>
                <w:szCs w:val="21"/>
              </w:rPr>
              <w:t>资料列示持股比例</w:t>
            </w:r>
          </w:p>
        </w:tc>
        <w:tc>
          <w:tcPr>
            <w:tcW w:w="2976"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20EAE6AF">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b/>
                <w:sz w:val="21"/>
                <w:szCs w:val="21"/>
              </w:rPr>
              <w:t>本次征集定位</w:t>
            </w:r>
          </w:p>
        </w:tc>
      </w:tr>
      <w:tr w14:paraId="0ACA0B5D">
        <w:trPr>
          <w:cantSplit/>
          <w:jc w:val="center"/>
        </w:trPr>
        <w:tc>
          <w:tcPr>
            <w:tcW w:w="414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2AF4902">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联方云天能源技术（北京）有限公司</w:t>
            </w:r>
          </w:p>
        </w:tc>
        <w:tc>
          <w:tcPr>
            <w:tcW w:w="211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99084C1">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100%</w:t>
            </w:r>
          </w:p>
        </w:tc>
        <w:tc>
          <w:tcPr>
            <w:tcW w:w="297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841AE56">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关联业务协同意向</w:t>
            </w:r>
          </w:p>
        </w:tc>
      </w:tr>
      <w:tr w14:paraId="7BFE1999">
        <w:trPr>
          <w:cantSplit/>
          <w:jc w:val="center"/>
        </w:trPr>
        <w:tc>
          <w:tcPr>
            <w:tcW w:w="414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422947A">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联方云天信息科技（南京）有限公司</w:t>
            </w:r>
          </w:p>
        </w:tc>
        <w:tc>
          <w:tcPr>
            <w:tcW w:w="211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DA6CDCF">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100%</w:t>
            </w:r>
          </w:p>
        </w:tc>
        <w:tc>
          <w:tcPr>
            <w:tcW w:w="297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3324E99">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关联业务协同意向</w:t>
            </w:r>
          </w:p>
        </w:tc>
      </w:tr>
      <w:tr w14:paraId="385C49F1">
        <w:trPr>
          <w:cantSplit/>
          <w:jc w:val="center"/>
        </w:trPr>
        <w:tc>
          <w:tcPr>
            <w:tcW w:w="414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E28F080">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联方云天科技（珠海）有限公司</w:t>
            </w:r>
          </w:p>
        </w:tc>
        <w:tc>
          <w:tcPr>
            <w:tcW w:w="211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39F4A52">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100%</w:t>
            </w:r>
          </w:p>
        </w:tc>
        <w:tc>
          <w:tcPr>
            <w:tcW w:w="297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0F3143D">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关联业务协同意向</w:t>
            </w:r>
          </w:p>
        </w:tc>
      </w:tr>
      <w:tr w14:paraId="4419AE04">
        <w:trPr>
          <w:cantSplit/>
          <w:jc w:val="center"/>
        </w:trPr>
        <w:tc>
          <w:tcPr>
            <w:tcW w:w="414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78D7E0A">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正方云天智慧科技（珠海）有限公司</w:t>
            </w:r>
          </w:p>
        </w:tc>
        <w:tc>
          <w:tcPr>
            <w:tcW w:w="211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A291728">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95%</w:t>
            </w:r>
          </w:p>
        </w:tc>
        <w:tc>
          <w:tcPr>
            <w:tcW w:w="297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56A24FC">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关联业务协同意向</w:t>
            </w:r>
          </w:p>
        </w:tc>
      </w:tr>
      <w:tr w14:paraId="0B4719EC">
        <w:trPr>
          <w:cantSplit/>
          <w:jc w:val="center"/>
        </w:trPr>
        <w:tc>
          <w:tcPr>
            <w:tcW w:w="414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8359A75">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联方盈融能源科技（江苏）有限公司</w:t>
            </w:r>
          </w:p>
        </w:tc>
        <w:tc>
          <w:tcPr>
            <w:tcW w:w="211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B734D87">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30%</w:t>
            </w:r>
          </w:p>
        </w:tc>
        <w:tc>
          <w:tcPr>
            <w:tcW w:w="297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171F16A">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对外股权投资线索</w:t>
            </w:r>
          </w:p>
        </w:tc>
      </w:tr>
      <w:tr w14:paraId="6F2C8510">
        <w:trPr>
          <w:cantSplit/>
          <w:jc w:val="center"/>
        </w:trPr>
        <w:tc>
          <w:tcPr>
            <w:tcW w:w="4148"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1BA1EDE">
            <w:pPr>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sz w:val="21"/>
                <w:szCs w:val="21"/>
                <w:lang w:eastAsia="zh-CN"/>
              </w:rPr>
              <w:t>联方雲天科技（香港）有限公司</w:t>
            </w:r>
          </w:p>
        </w:tc>
        <w:tc>
          <w:tcPr>
            <w:tcW w:w="211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C3F0F78">
            <w:pPr>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100%</w:t>
            </w:r>
          </w:p>
        </w:tc>
        <w:tc>
          <w:tcPr>
            <w:tcW w:w="2976"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A411E19">
            <w:pPr>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境外股权投资线索</w:t>
            </w:r>
          </w:p>
        </w:tc>
      </w:tr>
    </w:tbl>
    <w:p w14:paraId="19F9AACE">
      <w:pPr>
        <w:spacing w:after="0" w:line="360" w:lineRule="auto"/>
        <w:rPr>
          <w:rFonts w:hint="eastAsia" w:ascii="Kaiti SC Regular" w:hAnsi="Kaiti SC Regular" w:eastAsia="Kaiti SC Regular" w:cs="Kaiti SC Regular"/>
          <w:szCs w:val="24"/>
        </w:rPr>
      </w:pPr>
    </w:p>
    <w:p w14:paraId="1A1A5B35">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投资人可围绕北京母公司与前述四家境内关联企业的相关业务提出协同方案；江苏参股公司及香港公司仅作为对外股权投资线索披露。是否纳入交易及具体范围，分别取决于权属核查、相关方同意和依法履行必要程序的结果。</w:t>
      </w:r>
      <w:r>
        <w:rPr>
          <w:rFonts w:hint="eastAsia" w:ascii="Kaiti SC Regular" w:hAnsi="Kaiti SC Regular" w:eastAsia="Kaiti SC Regular" w:cs="Kaiti SC Regular"/>
          <w:b/>
          <w:szCs w:val="24"/>
          <w:lang w:eastAsia="zh-CN"/>
        </w:rPr>
        <w:t>股权投资价值不等同于被投资企业资产总额，关联公司财产不因本公告而归入债务人财产。</w:t>
      </w:r>
    </w:p>
    <w:p w14:paraId="0029C6D7">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（四）资产负债及经营状态说明</w:t>
      </w:r>
    </w:p>
    <w:p w14:paraId="5DBDDDA0">
      <w:pPr>
        <w:keepNext/>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（2026）京01破申875号受理裁定援引的联方云天公司报表显示，截至2026年4月30日：</w:t>
      </w:r>
    </w:p>
    <w:tbl>
      <w:tblPr>
        <w:tblStyle w:val="32"/>
        <w:tblW w:w="0" w:type="auto"/>
        <w:jc w:val="center"/>
        <w:tblLayout w:type="fixed"/>
        <w:tblCellMar>
          <w:top w:w="0" w:type="dxa"/>
          <w:left w:w="108" w:type="dxa"/>
          <w:bottom w:w="0" w:type="dxa"/>
          <w:right w:w="108" w:type="dxa"/>
        </w:tblCellMar>
      </w:tblPr>
      <w:tblGrid>
        <w:gridCol w:w="4620"/>
        <w:gridCol w:w="4620"/>
      </w:tblGrid>
      <w:tr w14:paraId="02EEB5A2">
        <w:trPr>
          <w:cantSplit/>
          <w:tblHeader/>
          <w:jc w:val="center"/>
        </w:trPr>
        <w:tc>
          <w:tcPr>
            <w:tcW w:w="4620"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57EC33D1">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b/>
                <w:sz w:val="21"/>
                <w:szCs w:val="21"/>
              </w:rPr>
              <w:t>项目</w:t>
            </w:r>
          </w:p>
        </w:tc>
        <w:tc>
          <w:tcPr>
            <w:tcW w:w="4620"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1B8CC859">
            <w:pPr>
              <w:keepNext/>
              <w:spacing w:before="40" w:after="40" w:line="360" w:lineRule="auto"/>
              <w:rPr>
                <w:rFonts w:hint="eastAsia" w:ascii="Kaiti SC Regular" w:hAnsi="Kaiti SC Regular" w:eastAsia="Kaiti SC Regular" w:cs="Kaiti SC Regular"/>
                <w:sz w:val="21"/>
                <w:szCs w:val="21"/>
                <w:lang w:eastAsia="zh-CN"/>
              </w:rPr>
            </w:pPr>
            <w:r>
              <w:rPr>
                <w:rFonts w:hint="eastAsia" w:ascii="Kaiti SC Regular" w:hAnsi="Kaiti SC Regular" w:eastAsia="Kaiti SC Regular" w:cs="Kaiti SC Regular"/>
                <w:b/>
                <w:sz w:val="21"/>
                <w:szCs w:val="21"/>
                <w:lang w:eastAsia="zh-CN"/>
              </w:rPr>
              <w:t>报表金额（人民币元）</w:t>
            </w:r>
          </w:p>
        </w:tc>
      </w:tr>
      <w:tr w14:paraId="49917DFD">
        <w:trPr>
          <w:cantSplit/>
          <w:jc w:val="center"/>
        </w:trPr>
        <w:tc>
          <w:tcPr>
            <w:tcW w:w="4620"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ABABD47">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资产总计</w:t>
            </w:r>
          </w:p>
        </w:tc>
        <w:tc>
          <w:tcPr>
            <w:tcW w:w="4620"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8FC13D5">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8,970,085.03</w:t>
            </w:r>
          </w:p>
        </w:tc>
      </w:tr>
      <w:tr w14:paraId="33CC0B97">
        <w:trPr>
          <w:cantSplit/>
          <w:jc w:val="center"/>
        </w:trPr>
        <w:tc>
          <w:tcPr>
            <w:tcW w:w="4620"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D9B21CF">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负债合计</w:t>
            </w:r>
          </w:p>
        </w:tc>
        <w:tc>
          <w:tcPr>
            <w:tcW w:w="4620"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36CE64D">
            <w:pPr>
              <w:keepNext/>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41,365,750.59</w:t>
            </w:r>
          </w:p>
        </w:tc>
      </w:tr>
      <w:tr w14:paraId="1955A44F">
        <w:trPr>
          <w:cantSplit/>
          <w:jc w:val="center"/>
        </w:trPr>
        <w:tc>
          <w:tcPr>
            <w:tcW w:w="4620"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5E55DD2">
            <w:pPr>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所有者权益合计</w:t>
            </w:r>
          </w:p>
        </w:tc>
        <w:tc>
          <w:tcPr>
            <w:tcW w:w="4620"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B4D2372">
            <w:pPr>
              <w:spacing w:before="40" w:after="40" w:line="360" w:lineRule="auto"/>
              <w:rPr>
                <w:rFonts w:hint="eastAsia" w:ascii="Kaiti SC Regular" w:hAnsi="Kaiti SC Regular" w:eastAsia="Kaiti SC Regular" w:cs="Kaiti SC Regular"/>
                <w:sz w:val="21"/>
                <w:szCs w:val="21"/>
              </w:rPr>
            </w:pPr>
            <w:r>
              <w:rPr>
                <w:rFonts w:hint="eastAsia" w:ascii="Kaiti SC Regular" w:hAnsi="Kaiti SC Regular" w:eastAsia="Kaiti SC Regular" w:cs="Kaiti SC Regular"/>
                <w:sz w:val="21"/>
                <w:szCs w:val="21"/>
              </w:rPr>
              <w:t>-32,395,665.56</w:t>
            </w:r>
          </w:p>
        </w:tc>
      </w:tr>
    </w:tbl>
    <w:p w14:paraId="058D20A7">
      <w:pPr>
        <w:spacing w:after="0" w:line="360" w:lineRule="auto"/>
        <w:rPr>
          <w:rFonts w:hint="eastAsia" w:ascii="Kaiti SC Regular" w:hAnsi="Kaiti SC Regular" w:eastAsia="Kaiti SC Regular" w:cs="Kaiti SC Regular"/>
          <w:szCs w:val="24"/>
        </w:rPr>
      </w:pPr>
    </w:p>
    <w:p w14:paraId="122A51C1">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上述仅为受理审查时援引的历史报表数据，不是本次招募时点的审计、评估结论，不是重整投资底价或最终确认债权总额，也不是关联企业合并口径数据。资产实际价值、可收回金额、权利负担及债权金额和性质，须以依法调查、审查及确认结果为基础。已知债务类型包括职工相关债务、经营债务及对关联企业借款承担的担保债务等。</w:t>
      </w:r>
    </w:p>
    <w:p w14:paraId="7C8F1D98">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债务人于2026年5月出具的情况说明反映，公司及相关子公司曾因资金困难于2025年10月停工，并存在人员流失和欠付薪酬、社保等情形。投资人应就最新经营状态、核心人员组织、生产场地、租赁关系、设备安全、技术资料及恢复经营资金需求进行专项尽调；本公告不承诺企业处于正常生产状态或可无条件立即复工。</w:t>
      </w:r>
    </w:p>
    <w:p w14:paraId="196F512C">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二、投资方向及交易范围</w:t>
      </w:r>
    </w:p>
    <w:p w14:paraId="5E89CFB0">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本次以</w:t>
      </w:r>
      <w:r>
        <w:rPr>
          <w:rFonts w:hint="eastAsia" w:ascii="Kaiti SC Regular" w:hAnsi="Kaiti SC Regular" w:eastAsia="Kaiti SC Regular" w:cs="Kaiti SC Regular"/>
          <w:b/>
          <w:szCs w:val="24"/>
          <w:lang w:eastAsia="zh-CN"/>
        </w:rPr>
        <w:t>引入具有资金实力和产业经营能力的投资人、形成可实施的重整及经营恢复方案</w:t>
      </w:r>
      <w:r>
        <w:rPr>
          <w:rFonts w:hint="eastAsia" w:ascii="Kaiti SC Regular" w:hAnsi="Kaiti SC Regular" w:eastAsia="Kaiti SC Regular" w:cs="Kaiti SC Regular"/>
          <w:szCs w:val="24"/>
          <w:lang w:eastAsia="zh-CN"/>
        </w:rPr>
        <w:t>为主要目标。欢迎智算及数据中心基础设施、通信电源、电力电子、HVDC、UPS、锂电池及储能、数字能源及能源管理软件等领域的产业主体，或产业投资人与财务投资人组成的联合体参与。</w:t>
      </w:r>
    </w:p>
    <w:p w14:paraId="67F17072">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投资人可选择提出以下一种或多种方案，并列明相应前提条件：</w:t>
      </w:r>
    </w:p>
    <w:p w14:paraId="3473B9A1">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1. </w:t>
      </w:r>
      <w:r>
        <w:rPr>
          <w:rFonts w:hint="eastAsia" w:ascii="Kaiti SC Regular" w:hAnsi="Kaiti SC Regular" w:eastAsia="Kaiti SC Regular" w:cs="Kaiti SC Regular"/>
          <w:b/>
          <w:szCs w:val="24"/>
          <w:lang w:eastAsia="zh-CN"/>
        </w:rPr>
        <w:t>母公司整体重整。</w:t>
      </w:r>
      <w:r>
        <w:rPr>
          <w:rFonts w:hint="eastAsia" w:ascii="Kaiti SC Regular" w:hAnsi="Kaiti SC Regular" w:eastAsia="Kaiti SC Regular" w:cs="Kaiti SC Regular"/>
          <w:szCs w:val="24"/>
          <w:lang w:eastAsia="zh-CN"/>
        </w:rPr>
        <w:t>以联方云天公司为主体，提出资金投入、债务调整、股权调整及持续经营方案。</w:t>
      </w:r>
    </w:p>
    <w:p w14:paraId="56A524C3">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2. </w:t>
      </w:r>
      <w:r>
        <w:rPr>
          <w:rFonts w:hint="eastAsia" w:ascii="Kaiti SC Regular" w:hAnsi="Kaiti SC Regular" w:eastAsia="Kaiti SC Regular" w:cs="Kaiti SC Regular"/>
          <w:b/>
          <w:szCs w:val="24"/>
          <w:lang w:eastAsia="zh-CN"/>
        </w:rPr>
        <w:t>关联业务协同投资。</w:t>
      </w:r>
      <w:r>
        <w:rPr>
          <w:rFonts w:hint="eastAsia" w:ascii="Kaiti SC Regular" w:hAnsi="Kaiti SC Regular" w:eastAsia="Kaiti SC Regular" w:cs="Kaiti SC Regular"/>
          <w:szCs w:val="24"/>
          <w:lang w:eastAsia="zh-CN"/>
        </w:rPr>
        <w:t>围绕母公司及相关企业的产品、技术、设备和业务协同提出整体或分板块方案，明确每一主体、每项资产的交易方式、对价及实施条件。若方案以实质合并重整为前提，应说明不获准合并时能否调整为单体或其他合法交易方案；不得预设各主体资产负债已合并。</w:t>
      </w:r>
    </w:p>
    <w:p w14:paraId="18802D6D">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3. </w:t>
      </w:r>
      <w:r>
        <w:rPr>
          <w:rFonts w:hint="eastAsia" w:ascii="Kaiti SC Regular" w:hAnsi="Kaiti SC Regular" w:eastAsia="Kaiti SC Regular" w:cs="Kaiti SC Regular"/>
          <w:b/>
          <w:szCs w:val="24"/>
          <w:lang w:eastAsia="zh-CN"/>
        </w:rPr>
        <w:t>特定业务、资产或技术合作。</w:t>
      </w:r>
      <w:r>
        <w:rPr>
          <w:rFonts w:hint="eastAsia" w:ascii="Kaiti SC Regular" w:hAnsi="Kaiti SC Regular" w:eastAsia="Kaiti SC Regular" w:cs="Kaiti SC Regular"/>
          <w:szCs w:val="24"/>
          <w:lang w:eastAsia="zh-CN"/>
        </w:rPr>
        <w:t>可提出业务承接、特定资产受让、知识产权许可等意向，供管理人比较评估。此类意向不等于已获准处置或成交，也不当然替代后续依法开展的资产变价、竞争程序及必要审批。</w:t>
      </w:r>
    </w:p>
    <w:p w14:paraId="085B673F">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本次预招募不预设最低投资额、具体股权比例或债权清偿率。投资规模须与投资范围、偿债安排及后续运营需要相匹配。任何共益融资、借款担保或提前资金投入，须另行履行适用程序并签订文件，不因参与本次预招募而当然取得共益债务地位或其他优先权。</w:t>
      </w:r>
    </w:p>
    <w:p w14:paraId="35949BA7">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三、意向投资人条件</w:t>
      </w:r>
    </w:p>
    <w:p w14:paraId="21241F40">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（一）依法设立并有效存续的企业法人或非法人组织，具备参与本项目的主体资格、决策能力及良好商业信誉。境外主体参与的，应符合适用的外商投资、外汇及相关行业监管要求。</w:t>
      </w:r>
    </w:p>
    <w:p w14:paraId="01CF9BF7">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二）具有与拟投资方案匹配的资金实力和履约能力，资金来源合法合规，能够提供银行资金证明、财务资料、可核验的融资安排或其他履约能力证明；不得仅以拟取得的债务人资产作为缺乏落实条件的融资来源。</w:t>
      </w:r>
    </w:p>
    <w:p w14:paraId="149F11AC">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（三）具备相应经营管理能力、产业资源或可落地的专业运营团队。财务投资人应说明与产业主体、运营团队的合作安排，不以单纯资金意向替代经营可行性论证。</w:t>
      </w:r>
    </w:p>
    <w:p w14:paraId="3575BD24">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四）未被列入失信被执行人名单，最近三年不存在足以严重影响本项目履约或招募公正的重大违法违规行为。应如实披露重大到期未偿债务、诉讼执行、行政处罚及与债务人、关联企业、主要债权人、现有股东、管理人及其成员的关联或利害关系。</w:t>
      </w:r>
    </w:p>
    <w:p w14:paraId="00E5EDC4">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（五）接受依法开展的资格审查、资金核验和反向尽职调查；不得串通报价、提供虚假资料、以投资为名不当获取商业秘密或妨碍破产程序。资格条件及后续遴选规则对全体同类报名主体平等适用。</w:t>
      </w:r>
    </w:p>
    <w:p w14:paraId="0FDF29F5">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六）允许两个或两个以上主体组成联合体，明确牵头人、成员分工、出资安排及决策机制。各成员均须符合主体资格、信用和合规要求；联合体整体须具备相应资金及经营能力，并至少明确一家承担主要资金投入的成员及一家承担产业运营的成员，两者可以为同一主体。</w:t>
      </w:r>
    </w:p>
    <w:p w14:paraId="7F5966DB">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联合体成员应就其共同作出的报名、保密及资料真实性承诺承担连带责任；中选并签订正式投资文件时，对共同承诺的投资义务提供相应连带履约保障，具体范围在正式文件中明确。同一主体不得同时单独报名及加入其他联合体，亦不得加入两个以上联合体；拟变更成员或设立项目公司的，应事先向管理人书面披露并接受重新审查。</w:t>
      </w:r>
    </w:p>
    <w:p w14:paraId="23CBD682">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四、报名期限、方式及材料</w:t>
      </w:r>
    </w:p>
    <w:p w14:paraId="5DF10D85">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（一）报名期限</w:t>
      </w:r>
    </w:p>
    <w:p w14:paraId="03A08E6C">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本次报名期限为本公告首次发布之次日起30个自然日，截止时间为11月30日17:00（北京时间）。管理人可根据报名情况及案件进展，在原发布渠道公告延长报名期限。报名截止日与本案债权申报期限、一债会召开日期相互独立，不得据此推定破产程序安排已变更。</w:t>
      </w:r>
    </w:p>
    <w:p w14:paraId="41847650">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（二）报名方式</w:t>
      </w:r>
    </w:p>
    <w:p w14:paraId="11BBB3EE">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意向投资人应在截止时间前，将盖章、签字的报名文件扫描为PDF发送至管理人邮箱，邮件主题统一为“联方云天重整投资预报名＋投资人名称”。以完整电子文件到达指定邮箱的时间为报名提交时间；发送后请联系管理人核实收件。电子回执仅证明收件，不代表资格审查通过。</w:t>
      </w:r>
    </w:p>
    <w:p w14:paraId="68F27545">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管理人进行原件核验或要求补交时，投资人应按通知递交纸质原件一式两份。纸质材料与电子材料应一致；不一致的，须提交书面澄清，不得借原件核验改变报价或补报实质性条件。</w:t>
      </w:r>
    </w:p>
    <w:p w14:paraId="3889C0AB">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（三）报名材料</w:t>
      </w:r>
    </w:p>
    <w:p w14:paraId="17B1297B">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1. 《报名登记及投资意向书》（附件1），说明投资主体、拟投对象及范围、初步投资方式、资金安排、产业优势及主要前提条件。</w:t>
      </w:r>
    </w:p>
    <w:p w14:paraId="0291007F">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2. 主体资格证明、章程或合伙协议、股权及实际控制关系说明；《法定代表人／负责人身份证明及授权委托书》（附件2、3）和签署人员身份证明复印件。</w:t>
      </w:r>
    </w:p>
    <w:p w14:paraId="0FCCAD14">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3. 有权决策机构同意参与本次预招募的文件。最终投资决策尚需另行批准的，应如实说明决策权限、流程及预计完成时间。</w:t>
      </w:r>
    </w:p>
    <w:p w14:paraId="3A18A0CD">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4. 最近三年财务报表或审计报告，以及近期银行资金证明、征信报告或其他可核验的履约能力资料；成立不足三年的，提交成立以来的资料，依靠股东或其他主体提供资金的，另附该主体资信及具有明确条件的支持文件。</w:t>
      </w:r>
    </w:p>
    <w:p w14:paraId="5DDD9C5B">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5. 主要业务、产业经验、运营团队及类似投资项目的说明；《真实性、资金来源及关联关系承诺书》（附件3）、《保密承诺书》（附件4）。</w:t>
      </w:r>
    </w:p>
    <w:p w14:paraId="19C43EA1">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6. 联合体报名的，提交《联合体报名协议》（附件5）及各成员相应材料；使用投资基金、受托资金或拟设项目公司参与的，说明资金与控制结构及适用的决策、备案安排。</w:t>
      </w:r>
    </w:p>
    <w:p w14:paraId="18A36BBA">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7. 《联系及送达信息确认书》（附件6），以及管理人为核实上述事项合理要求补充的材料。</w:t>
      </w:r>
    </w:p>
    <w:p w14:paraId="50686BC0">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报名文件应列目录、连续编号，由投资人盖章并由法定代表人、负责人或有明确授权的代表签署。联合体共同文件由全体成员签署，成员独立资料由该成员签署。材料缺失的，管理人原则上给予3个工作日补正；逾期未补正或不具备条件的，可不予通过并告知理由。</w:t>
      </w:r>
    </w:p>
    <w:p w14:paraId="50FA92E5">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五、尽职调查、投资方案及后续遴选</w:t>
      </w:r>
    </w:p>
    <w:p w14:paraId="37E2357B">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（一）资格审查与保密安排</w:t>
      </w:r>
    </w:p>
    <w:p w14:paraId="7C2A84CC">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管理人收到完整报名材料后原则上于10个工作日内反馈初步审查结果。通过初步审查并提交有效保密文件的投资人，可按管理人通知查阅资料、提出书面问题及预约现场调查。管理人有权核查投资人资信、资金来源、实际控制及关联关系；报名主体应合理配合。</w:t>
      </w:r>
    </w:p>
    <w:p w14:paraId="06359381">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（二）尽职调查</w:t>
      </w:r>
    </w:p>
    <w:p w14:paraId="5068660C">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color w:val="C00000"/>
          <w:szCs w:val="24"/>
          <w:lang w:eastAsia="zh-CN"/>
        </w:rPr>
        <w:t>集中尽调期限拟为20个自然日，自管理人向合格报名主体统一发出尽调启动通知并开放基础资料之次日起计算</w:t>
      </w:r>
      <w:r>
        <w:rPr>
          <w:rFonts w:hint="eastAsia" w:ascii="Kaiti SC Regular" w:hAnsi="Kaiti SC Regular" w:eastAsia="Kaiti SC Regular" w:cs="Kaiti SC Regular"/>
          <w:color w:val="000000" w:themeColor="text1"/>
          <w:szCs w:val="24"/>
          <w:lang w:eastAsia="zh-CN"/>
          <w14:textFill>
            <w14:solidFill>
              <w14:schemeClr w14:val="tx1"/>
            </w14:solidFill>
          </w14:textFill>
        </w:rPr>
        <w:t>。</w:t>
      </w:r>
      <w:r>
        <w:rPr>
          <w:rFonts w:hint="eastAsia" w:ascii="Kaiti SC Regular" w:hAnsi="Kaiti SC Regular" w:eastAsia="Kaiti SC Regular" w:cs="Kaiti SC Regular"/>
          <w:szCs w:val="24"/>
          <w:lang w:eastAsia="zh-CN"/>
        </w:rPr>
        <w:t>管理人可按资料补充及现场条件，统一调整相关期限并通知所有受影响的合格投资人。</w:t>
      </w:r>
    </w:p>
    <w:p w14:paraId="501FBE50">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对基础信息、影响估值及投资决策的重要答疑，管理人实行统一口径披露；依法需要保密、涉及第三方权益或尚未取得合法授权的资料，采取脱敏、限定阅览、分阶段披露等方式处理，并说明不能提供或尚待核实的范围。未取得关联企业相应权限前，不承诺开放其全部资料或现场。</w:t>
      </w:r>
    </w:p>
    <w:p w14:paraId="6CD4E8BD">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涉及源代码、算法、设计图纸、客户明细及运维账户等非公开信息的，实行最小必要披露、人员备案和访问留痕；未经许可不得复制、下载、对外传输或用于本次投资评估以外的用途。不得擅自登录客户设备、测试生产系统或改变现场设施。投资人应自行承担尽调及参选费用，自行作出投资判断。</w:t>
      </w:r>
    </w:p>
    <w:p w14:paraId="3EF18728">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（三）投资方案要求</w:t>
      </w:r>
    </w:p>
    <w:p w14:paraId="52DAE3F8">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投资人应在集中尽调期限届满时提交签章投资方案；另有统一书面延期安排的，从其安排。方案至少应包括：</w:t>
      </w:r>
    </w:p>
    <w:p w14:paraId="32688426">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1. </w:t>
      </w:r>
      <w:r>
        <w:rPr>
          <w:rFonts w:hint="eastAsia" w:ascii="Kaiti SC Regular" w:hAnsi="Kaiti SC Regular" w:eastAsia="Kaiti SC Regular" w:cs="Kaiti SC Regular"/>
          <w:b/>
          <w:szCs w:val="24"/>
          <w:lang w:eastAsia="zh-CN"/>
        </w:rPr>
        <w:t>投资范围及结构：</w:t>
      </w:r>
      <w:r>
        <w:rPr>
          <w:rFonts w:hint="eastAsia" w:ascii="Kaiti SC Regular" w:hAnsi="Kaiti SC Regular" w:eastAsia="Kaiti SC Regular" w:cs="Kaiti SC Regular"/>
          <w:szCs w:val="24"/>
          <w:lang w:eastAsia="zh-CN"/>
        </w:rPr>
        <w:t>投资主体、资金与控制结构、拟取得的股权或资产、涉及的各家公司、各主体对价及权利负担处理；对关联企业协同或实质合并的依赖程度和替代安排。</w:t>
      </w:r>
    </w:p>
    <w:p w14:paraId="6EA28496">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2. </w:t>
      </w:r>
      <w:r>
        <w:rPr>
          <w:rFonts w:hint="eastAsia" w:ascii="Kaiti SC Regular" w:hAnsi="Kaiti SC Regular" w:eastAsia="Kaiti SC Regular" w:cs="Kaiti SC Regular"/>
          <w:b/>
          <w:szCs w:val="24"/>
          <w:lang w:eastAsia="zh-CN"/>
        </w:rPr>
        <w:t>资金方案：</w:t>
      </w:r>
      <w:r>
        <w:rPr>
          <w:rFonts w:hint="eastAsia" w:ascii="Kaiti SC Regular" w:hAnsi="Kaiti SC Regular" w:eastAsia="Kaiti SC Regular" w:cs="Kaiti SC Regular"/>
          <w:szCs w:val="24"/>
          <w:lang w:eastAsia="zh-CN"/>
        </w:rPr>
        <w:t>区分用于历史债务清偿的资金、恢复经营资金、后续流动资金及另行申请的融资；说明金额、来源、到账节点、先决条件、内部审批和履约保障，不得重复计算同一资金。</w:t>
      </w:r>
    </w:p>
    <w:p w14:paraId="6BC56613">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3. </w:t>
      </w:r>
      <w:r>
        <w:rPr>
          <w:rFonts w:hint="eastAsia" w:ascii="Kaiti SC Regular" w:hAnsi="Kaiti SC Regular" w:eastAsia="Kaiti SC Regular" w:cs="Kaiti SC Regular"/>
          <w:b/>
          <w:szCs w:val="24"/>
          <w:lang w:eastAsia="zh-CN"/>
        </w:rPr>
        <w:t>债务与职工安排：</w:t>
      </w:r>
      <w:r>
        <w:rPr>
          <w:rFonts w:hint="eastAsia" w:ascii="Kaiti SC Regular" w:hAnsi="Kaiti SC Regular" w:eastAsia="Kaiti SC Regular" w:cs="Kaiti SC Regular"/>
          <w:szCs w:val="24"/>
          <w:lang w:eastAsia="zh-CN"/>
        </w:rPr>
        <w:t>依法处理破产费用、共益债务、职工债权、社保税费、担保债权及普通债权等，说明清偿来源、方式、期限，及职工安置、核心技术人员和售后人员组织方案。</w:t>
      </w:r>
    </w:p>
    <w:p w14:paraId="0EE9E336">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4. </w:t>
      </w:r>
      <w:r>
        <w:rPr>
          <w:rFonts w:hint="eastAsia" w:ascii="Kaiti SC Regular" w:hAnsi="Kaiti SC Regular" w:eastAsia="Kaiti SC Regular" w:cs="Kaiti SC Regular"/>
          <w:b/>
          <w:szCs w:val="24"/>
          <w:lang w:eastAsia="zh-CN"/>
        </w:rPr>
        <w:t>经营与技术方案：</w:t>
      </w:r>
      <w:r>
        <w:rPr>
          <w:rFonts w:hint="eastAsia" w:ascii="Kaiti SC Regular" w:hAnsi="Kaiti SC Regular" w:eastAsia="Kaiti SC Regular" w:cs="Kaiti SC Regular"/>
          <w:szCs w:val="24"/>
          <w:lang w:eastAsia="zh-CN"/>
        </w:rPr>
        <w:t>拟保留或恢复的产品线、场地与设备安排、技术资料和知识产权交接、认证与客户资格恢复、产品安全及存量服务保障、未来经营现金流预测。</w:t>
      </w:r>
    </w:p>
    <w:p w14:paraId="3DBE4F48">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 xml:space="preserve">5. </w:t>
      </w:r>
      <w:r>
        <w:rPr>
          <w:rFonts w:hint="eastAsia" w:ascii="Kaiti SC Regular" w:hAnsi="Kaiti SC Regular" w:eastAsia="Kaiti SC Regular" w:cs="Kaiti SC Regular"/>
          <w:b/>
          <w:szCs w:val="24"/>
          <w:lang w:eastAsia="zh-CN"/>
        </w:rPr>
        <w:t>实施及风险安排：</w:t>
      </w:r>
      <w:r>
        <w:rPr>
          <w:rFonts w:hint="eastAsia" w:ascii="Kaiti SC Regular" w:hAnsi="Kaiti SC Regular" w:eastAsia="Kaiti SC Regular" w:cs="Kaiti SC Regular"/>
          <w:szCs w:val="24"/>
          <w:lang w:eastAsia="zh-CN"/>
        </w:rPr>
        <w:t>交易审批、税费承担、重大合同处理、交割步骤、违约责任；无法转重整、无法取得关联企业授权、未获合并裁定或投资所需权利无法交付时的退出与调整机制。</w:t>
      </w:r>
    </w:p>
    <w:p w14:paraId="48F44DA1">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（四）评估、协商及后续程序</w:t>
      </w:r>
    </w:p>
    <w:p w14:paraId="5F52F679">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本阶段主要用于收集真实投资意向、评价重整可能性和形成备选方案。管理人将综合考察资金确定性、债权人受偿效果、产业协同、经营可行性、职工及存量服务安排、实施条件和风险，必要时组织方案沟通、论证或后续公开遴选。</w:t>
      </w:r>
    </w:p>
    <w:p w14:paraId="0CC669C2">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涉及正式投资人遴选的，管理人将另行向符合条件的意向投资人统一公布具体规则、评审方式、必要资金门槛及履约保障要求，并依案件进展履行所需报告、决策和司法程序。存在多名投资人时公平比较；仅有一名投资人时亦须审查方案，不当然确定其为投资人。没有适格可行方案的，可以继续征集、另行招募或终止本次活动。</w:t>
      </w:r>
    </w:p>
    <w:p w14:paraId="32D3FD3C">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经协商拟签订投资意向文件的，应明确约束范围和有效期，不以意向协议替代法院裁定、债权人依法行使权利或相关主体的处分权限。正式投资协议及重整计划的生效、履行条件另行依法确定。</w:t>
      </w:r>
    </w:p>
    <w:p w14:paraId="09A6C4C3">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六、报名费用、保证金及退出</w:t>
      </w:r>
    </w:p>
    <w:p w14:paraId="5DD717C6">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color w:val="C00000"/>
          <w:szCs w:val="24"/>
          <w:lang w:eastAsia="zh-CN"/>
        </w:rPr>
        <w:t>本次预招募阶段不收取报名费用及报名保证金，基础尽调不以支付保证金为前提。</w:t>
      </w:r>
      <w:r>
        <w:rPr>
          <w:rFonts w:hint="eastAsia" w:ascii="Kaiti SC Regular" w:hAnsi="Kaiti SC Regular" w:eastAsia="Kaiti SC Regular" w:cs="Kaiti SC Regular"/>
          <w:szCs w:val="24"/>
          <w:lang w:eastAsia="zh-CN"/>
        </w:rPr>
        <w:t>投资人仍须提交有效保密承诺，并遵守资料查阅及现场调查规则。</w:t>
      </w:r>
    </w:p>
    <w:p w14:paraId="1FB7E3D8">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后续正式遴选或投资协议确需保证金的，管理人将事先统一明确金额、缴纳期限、合法收款账户、返还条件、扣除及转为投资款的规则；在相关规则公布并形成必要书面文件前，不要求投资人付款。本公告不授权任何个人或中介代收费用，投资人不得向个人账户或未经核验的账户付款。</w:t>
      </w:r>
    </w:p>
    <w:p w14:paraId="6CAC91EF">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投资人可在签订具有明确投资约束力的文件前书面退出本次预招募；退出不免除已经发生的保密、资料真实性及相应违约责任。已签署投资文件的，依其有效约定和法律规定处理。</w:t>
      </w:r>
    </w:p>
    <w:p w14:paraId="33676E11">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七、风险提示及其他事项</w:t>
      </w:r>
    </w:p>
    <w:p w14:paraId="21F65FEA">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（一）</w:t>
      </w:r>
      <w:r>
        <w:rPr>
          <w:rFonts w:hint="eastAsia" w:ascii="Kaiti SC Regular" w:hAnsi="Kaiti SC Regular" w:eastAsia="Kaiti SC Regular" w:cs="Kaiti SC Regular"/>
          <w:b/>
          <w:szCs w:val="24"/>
          <w:lang w:eastAsia="zh-CN"/>
        </w:rPr>
        <w:t>程序风险。</w:t>
      </w:r>
      <w:r>
        <w:rPr>
          <w:rFonts w:hint="eastAsia" w:ascii="Kaiti SC Regular" w:hAnsi="Kaiti SC Regular" w:eastAsia="Kaiti SC Regular" w:cs="Kaiti SC Regular"/>
          <w:szCs w:val="24"/>
          <w:lang w:eastAsia="zh-CN"/>
        </w:rPr>
        <w:t>本案可能继续按清算程序推进并依法宣告破产；未能转重整、重整计划未获批准或无法执行的风险由投资人充分评估。本次预招募不停止清算程序中的法定履职和期限，不构成法院或管理人对投资结果的保证。</w:t>
      </w:r>
    </w:p>
    <w:p w14:paraId="03CA5067">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（二）</w:t>
      </w:r>
      <w:r>
        <w:rPr>
          <w:rFonts w:hint="eastAsia" w:ascii="Kaiti SC Regular" w:hAnsi="Kaiti SC Regular" w:eastAsia="Kaiti SC Regular" w:cs="Kaiti SC Regular"/>
          <w:b/>
          <w:szCs w:val="24"/>
          <w:lang w:eastAsia="zh-CN"/>
        </w:rPr>
        <w:t>资产与技术风险。</w:t>
      </w:r>
      <w:r>
        <w:rPr>
          <w:rFonts w:hint="eastAsia" w:ascii="Kaiti SC Regular" w:hAnsi="Kaiti SC Regular" w:eastAsia="Kaiti SC Regular" w:cs="Kaiti SC Regular"/>
          <w:szCs w:val="24"/>
          <w:lang w:eastAsia="zh-CN"/>
        </w:rPr>
        <w:t>历史账面价值与现状、变现价值可能不同；应收款存在回收风险，存货和设备存在权属、数量、状态及交付风险。知识产权可能存在失效、未授权、质押、许可、共有、职务成果或其他争议；技术、源代码和人员能否衔接不得仅凭证书或宣传判断。</w:t>
      </w:r>
    </w:p>
    <w:p w14:paraId="037B4255">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（三）</w:t>
      </w:r>
      <w:r>
        <w:rPr>
          <w:rFonts w:hint="eastAsia" w:ascii="Kaiti SC Regular" w:hAnsi="Kaiti SC Regular" w:eastAsia="Kaiti SC Regular" w:cs="Kaiti SC Regular"/>
          <w:b/>
          <w:szCs w:val="24"/>
          <w:lang w:eastAsia="zh-CN"/>
        </w:rPr>
        <w:t>关联企业风险。</w:t>
      </w:r>
      <w:r>
        <w:rPr>
          <w:rFonts w:hint="eastAsia" w:ascii="Kaiti SC Regular" w:hAnsi="Kaiti SC Regular" w:eastAsia="Kaiti SC Regular" w:cs="Kaiti SC Regular"/>
          <w:szCs w:val="24"/>
          <w:lang w:eastAsia="zh-CN"/>
        </w:rPr>
        <w:t>同一控制、人员交叉、库存混放或资金往来，不等同于已依法确认人格混同或实质合并。各公司资产负债应分别识别，避免内部往来和担保债务重复计算；对外投资的处分还可能涉及出资责任、其他股东权利、境外登记及跨境监管。</w:t>
      </w:r>
    </w:p>
    <w:p w14:paraId="2AAC7239">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（四）</w:t>
      </w:r>
      <w:r>
        <w:rPr>
          <w:rFonts w:hint="eastAsia" w:ascii="Kaiti SC Regular" w:hAnsi="Kaiti SC Regular" w:eastAsia="Kaiti SC Regular" w:cs="Kaiti SC Regular"/>
          <w:b/>
          <w:szCs w:val="24"/>
          <w:lang w:eastAsia="zh-CN"/>
        </w:rPr>
        <w:t>经营及政策风险。</w:t>
      </w:r>
      <w:r>
        <w:rPr>
          <w:rFonts w:hint="eastAsia" w:ascii="Kaiti SC Regular" w:hAnsi="Kaiti SC Regular" w:eastAsia="Kaiti SC Regular" w:cs="Kaiti SC Regular"/>
          <w:szCs w:val="24"/>
          <w:lang w:eastAsia="zh-CN"/>
        </w:rPr>
        <w:t>场地、资质、产品认证、客户准入、商业秘密及数据保护、税务、劳动用工、产品质量与安全等均可能影响方案实施。历史业务、资质及合作关系不构成未来可持续经营或收益的承诺。</w:t>
      </w:r>
    </w:p>
    <w:p w14:paraId="34A6C927">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（五）</w:t>
      </w:r>
      <w:r>
        <w:rPr>
          <w:rFonts w:hint="eastAsia" w:ascii="Kaiti SC Regular" w:hAnsi="Kaiti SC Regular" w:eastAsia="Kaiti SC Regular" w:cs="Kaiti SC Regular"/>
          <w:b/>
          <w:szCs w:val="24"/>
          <w:lang w:eastAsia="zh-CN"/>
        </w:rPr>
        <w:t>信息披露与责任。</w:t>
      </w:r>
      <w:r>
        <w:rPr>
          <w:rFonts w:hint="eastAsia" w:ascii="Kaiti SC Regular" w:hAnsi="Kaiti SC Regular" w:eastAsia="Kaiti SC Regular" w:cs="Kaiti SC Regular"/>
          <w:szCs w:val="24"/>
          <w:lang w:eastAsia="zh-CN"/>
        </w:rPr>
        <w:t>管理人将依法履职，对已掌握且可披露的重要信息及已知重大风险予以说明；资料不足或尚待核实的事项如实告知。本公告及资料不替代投资人独立尽调，但不以此排除管理人依法不得免除的责任。</w:t>
      </w:r>
    </w:p>
    <w:p w14:paraId="7D7FABD7">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（六）</w:t>
      </w:r>
      <w:r>
        <w:rPr>
          <w:rFonts w:hint="eastAsia" w:ascii="Kaiti SC Regular" w:hAnsi="Kaiti SC Regular" w:eastAsia="Kaiti SC Regular" w:cs="Kaiti SC Regular"/>
          <w:b/>
          <w:szCs w:val="24"/>
          <w:lang w:eastAsia="zh-CN"/>
        </w:rPr>
        <w:t>公告调整。</w:t>
      </w:r>
      <w:r>
        <w:rPr>
          <w:rFonts w:hint="eastAsia" w:ascii="Kaiti SC Regular" w:hAnsi="Kaiti SC Regular" w:eastAsia="Kaiti SC Regular" w:cs="Kaiti SC Regular"/>
          <w:szCs w:val="24"/>
          <w:lang w:eastAsia="zh-CN"/>
        </w:rPr>
        <w:t>因程序进展、资料变化或其他合理原因需要调整、补充、中止、延期或终止本次预招募的，管理人将通过原公告渠道发布，并对已报名主体进行通知；涉及实质条件调整的，给予合理补充评估或调整方案时间，不追溯改变已约定的权利义务。</w:t>
      </w:r>
    </w:p>
    <w:p w14:paraId="25F04CAB">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（七）</w:t>
      </w:r>
      <w:r>
        <w:rPr>
          <w:rFonts w:hint="eastAsia" w:ascii="Kaiti SC Regular" w:hAnsi="Kaiti SC Regular" w:eastAsia="Kaiti SC Regular" w:cs="Kaiti SC Regular"/>
          <w:b/>
          <w:szCs w:val="24"/>
          <w:lang w:eastAsia="zh-CN"/>
        </w:rPr>
        <w:t>发布与联络。</w:t>
      </w:r>
      <w:r>
        <w:rPr>
          <w:rFonts w:hint="eastAsia" w:ascii="Kaiti SC Regular" w:hAnsi="Kaiti SC Regular" w:eastAsia="Kaiti SC Regular" w:cs="Kaiti SC Regular"/>
          <w:szCs w:val="24"/>
          <w:lang w:eastAsia="zh-CN"/>
        </w:rPr>
        <w:t>报名及项目沟通均以管理人的书面通知为准。公告由管理人履行本案所需程序后，通过全国企业破产重整案件信息网及管理人依法选定的公开渠道发布；其他渠道转载不得改变正文、截止时间及联系方式。管理人对公告作出的解释不得违反法律规定、公开公平原则或已生效文件。</w:t>
      </w:r>
    </w:p>
    <w:p w14:paraId="0EBA15D0">
      <w:pPr>
        <w:pStyle w:val="3"/>
        <w:spacing w:line="360" w:lineRule="auto"/>
        <w:rPr>
          <w:rFonts w:hint="eastAsia" w:ascii="Kaiti SC Regular" w:hAnsi="Kaiti SC Regular" w:eastAsia="Kaiti SC Regular" w:cs="Kaiti SC Regular"/>
          <w:sz w:val="24"/>
          <w:szCs w:val="24"/>
          <w:lang w:eastAsia="zh-CN"/>
        </w:rPr>
      </w:pPr>
      <w:r>
        <w:rPr>
          <w:rFonts w:hint="eastAsia" w:ascii="Kaiti SC Regular" w:hAnsi="Kaiti SC Regular" w:eastAsia="Kaiti SC Regular" w:cs="Kaiti SC Regular"/>
          <w:sz w:val="24"/>
          <w:szCs w:val="24"/>
          <w:lang w:eastAsia="zh-CN"/>
        </w:rPr>
        <w:t>八、管理人联系方式</w:t>
      </w:r>
    </w:p>
    <w:p w14:paraId="13E3904D">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收件人：联方云天科技（北京）有限公司管理人</w:t>
      </w:r>
    </w:p>
    <w:p w14:paraId="1C23953E">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联系人：罗娟</w:t>
      </w:r>
    </w:p>
    <w:p w14:paraId="1C213900">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联系电话：186 0036 5332</w:t>
      </w:r>
    </w:p>
    <w:p w14:paraId="419487CC">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rPr>
        <w:t>电子邮箱：juan.luo@kangdalawyers.com</w:t>
      </w:r>
      <w:r>
        <w:rPr>
          <w:rFonts w:hint="eastAsia" w:ascii="Kaiti SC Regular" w:hAnsi="Kaiti SC Regular" w:eastAsia="Kaiti SC Regular" w:cs="Kaiti SC Regular"/>
          <w:szCs w:val="24"/>
          <w:lang w:eastAsia="zh-CN"/>
        </w:rPr>
        <w:t>，yuyao.wang@kangdalawyers.com</w:t>
      </w:r>
    </w:p>
    <w:p w14:paraId="7A2A6BEE">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联系地址：北京市朝阳区建外大街丁12号英皇集团中心8层，北京市康达律师事务所</w:t>
      </w:r>
    </w:p>
    <w:p w14:paraId="487B8CF6">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邮件主题：联方云天重整投资预报名＋投资人名称</w:t>
      </w:r>
    </w:p>
    <w:p w14:paraId="46DB8AD0">
      <w:pPr>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欢迎具备相应资金实力、产业资源及经营能力的意向投资人参与本次预招募。</w:t>
      </w:r>
    </w:p>
    <w:p w14:paraId="6F693868">
      <w:pPr>
        <w:keepNext/>
        <w:spacing w:line="360" w:lineRule="auto"/>
        <w:ind w:firstLine="480"/>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特此公告。</w:t>
      </w:r>
    </w:p>
    <w:p w14:paraId="32A5EEBC">
      <w:pPr>
        <w:keepNext/>
        <w:spacing w:line="360" w:lineRule="auto"/>
        <w:jc w:val="right"/>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联方云天科技（北京）有限公司管理人</w:t>
      </w:r>
    </w:p>
    <w:p w14:paraId="22C46D01">
      <w:pPr>
        <w:keepNext/>
        <w:spacing w:line="360" w:lineRule="auto"/>
        <w:jc w:val="right"/>
        <w:rPr>
          <w:rFonts w:hint="eastAsia" w:ascii="Kaiti SC Regular" w:hAnsi="Kaiti SC Regular" w:eastAsia="Kaiti SC Regular" w:cs="Kaiti SC Regular"/>
          <w:szCs w:val="24"/>
        </w:rPr>
      </w:pPr>
      <w:r>
        <w:rPr>
          <w:rFonts w:hint="eastAsia" w:ascii="Kaiti SC Regular" w:hAnsi="Kaiti SC Regular" w:eastAsia="Kaiti SC Regular" w:cs="Kaiti SC Regular"/>
          <w:szCs w:val="24"/>
        </w:rPr>
        <w:t>二〇二六年【</w:t>
      </w:r>
      <w:r>
        <w:rPr>
          <w:rFonts w:hint="eastAsia" w:ascii="Kaiti SC Regular" w:hAnsi="Kaiti SC Regular" w:eastAsia="Kaiti SC Regular" w:cs="Kaiti SC Regular"/>
          <w:szCs w:val="24"/>
          <w:lang w:eastAsia="zh-CN"/>
        </w:rPr>
        <w:t>10</w:t>
      </w:r>
      <w:r>
        <w:rPr>
          <w:rFonts w:hint="eastAsia" w:ascii="Kaiti SC Regular" w:hAnsi="Kaiti SC Regular" w:eastAsia="Kaiti SC Regular" w:cs="Kaiti SC Regular"/>
          <w:szCs w:val="24"/>
        </w:rPr>
        <w:t>】月【</w:t>
      </w:r>
      <w:r>
        <w:rPr>
          <w:rFonts w:hint="eastAsia" w:ascii="Kaiti SC Regular" w:hAnsi="Kaiti SC Regular" w:eastAsia="Kaiti SC Regular" w:cs="Kaiti SC Regular"/>
          <w:szCs w:val="24"/>
          <w:lang w:eastAsia="zh-CN"/>
        </w:rPr>
        <w:t>30</w:t>
      </w:r>
      <w:r>
        <w:rPr>
          <w:rFonts w:hint="eastAsia" w:ascii="Kaiti SC Regular" w:hAnsi="Kaiti SC Regular" w:eastAsia="Kaiti SC Regular" w:cs="Kaiti SC Regular"/>
          <w:szCs w:val="24"/>
        </w:rPr>
        <w:t>】日</w:t>
      </w:r>
    </w:p>
    <w:p w14:paraId="64967682">
      <w:pPr>
        <w:pStyle w:val="4"/>
        <w:spacing w:line="360" w:lineRule="auto"/>
        <w:rPr>
          <w:rFonts w:hint="eastAsia" w:ascii="Kaiti SC Regular" w:hAnsi="Kaiti SC Regular" w:eastAsia="Kaiti SC Regular" w:cs="Kaiti SC Regular"/>
          <w:szCs w:val="24"/>
        </w:rPr>
      </w:pPr>
    </w:p>
    <w:p w14:paraId="7B4D4D70">
      <w:pPr>
        <w:pStyle w:val="4"/>
        <w:spacing w:line="360" w:lineRule="auto"/>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附件</w:t>
      </w:r>
    </w:p>
    <w:p w14:paraId="5FA0B753">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1. 报名登记及投资意向书</w:t>
      </w:r>
    </w:p>
    <w:p w14:paraId="33A5CBE3">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2. 法定代表人／负责人身份证明及授权委托书</w:t>
      </w:r>
    </w:p>
    <w:p w14:paraId="7A8B8A0B">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3. 真实性、资金来源及关联关系承诺书</w:t>
      </w:r>
    </w:p>
    <w:p w14:paraId="563BCC3E">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4. 保密承诺书</w:t>
      </w:r>
    </w:p>
    <w:p w14:paraId="4F17574A">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5. 联合体报名协议（联合体适用）</w:t>
      </w:r>
    </w:p>
    <w:p w14:paraId="4D7C99E2">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6. 联系及送达信息确认书</w:t>
      </w:r>
    </w:p>
    <w:p w14:paraId="40285170">
      <w:pPr>
        <w:spacing w:line="360" w:lineRule="auto"/>
        <w:jc w:val="both"/>
        <w:rPr>
          <w:rFonts w:hint="eastAsia" w:ascii="Kaiti SC Regular" w:hAnsi="Kaiti SC Regular" w:eastAsia="Kaiti SC Regular" w:cs="Kaiti SC Regular"/>
          <w:szCs w:val="24"/>
          <w:lang w:eastAsia="zh-CN"/>
        </w:rPr>
      </w:pPr>
      <w:r>
        <w:rPr>
          <w:rFonts w:hint="eastAsia" w:ascii="Kaiti SC Regular" w:hAnsi="Kaiti SC Regular" w:eastAsia="Kaiti SC Regular" w:cs="Kaiti SC Regular"/>
          <w:szCs w:val="24"/>
          <w:lang w:eastAsia="zh-CN"/>
        </w:rPr>
        <w:t>附件与本公告配套提供；电子版可通过上述邮箱向管理人索取。</w:t>
      </w:r>
    </w:p>
    <w:sectPr>
      <w:headerReference r:id="rId5" w:type="default"/>
      <w:footerReference r:id="rId6" w:type="default"/>
      <w:pgSz w:w="11906" w:h="16838"/>
      <w:pgMar w:top="1219" w:right="1332" w:bottom="1162" w:left="1332" w:header="510" w:footer="51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6"/>
    <w:family w:val="auto"/>
    <w:pitch w:val="default"/>
    <w:sig w:usb0="00000000" w:usb1="00000000" w:usb2="00000000" w:usb3="00000000" w:csb0="00000000" w:csb1="00000000"/>
  </w:font>
  <w:font w:name="Noto Serif CJK SC">
    <w:altName w:val="苹方-简"/>
    <w:panose1 w:val="00000000000000000000"/>
    <w:charset w:val="00"/>
    <w:family w:val="auto"/>
    <w:pitch w:val="default"/>
    <w:sig w:usb0="00000000" w:usb1="00000000" w:usb2="00000000" w:usb3="00000000" w:csb0="00000000" w:csb1="00000000"/>
  </w:font>
  <w:font w:name="ＭＳ ゴシック">
    <w:altName w:val="Arial Unicode MS"/>
    <w:panose1 w:val="00000000000000000000"/>
    <w:charset w:val="00"/>
    <w:family w:val="auto"/>
    <w:pitch w:val="default"/>
    <w:sig w:usb0="00000000" w:usb1="00000000" w:usb2="00000000" w:usb3="00000000" w:csb0="00000000" w:csb1="00000000"/>
  </w:font>
  <w:font w:name="Courier">
    <w:altName w:val="苹方-简"/>
    <w:panose1 w:val="02070409020205020404"/>
    <w:charset w:val="00"/>
    <w:family w:val="auto"/>
    <w:pitch w:val="default"/>
    <w:sig w:usb0="00000000" w:usb1="00000000" w:usb2="00000000" w:usb3="00000000" w:csb0="00000001" w:csb1="00000000"/>
  </w:font>
  <w:font w:name="Kaiti SC Regular">
    <w:panose1 w:val="02010600040101010101"/>
    <w:charset w:val="86"/>
    <w:family w:val="auto"/>
    <w:pitch w:val="default"/>
    <w:sig w:usb0="80000287" w:usb1="280F3C52" w:usb2="00000016" w:usb3="00000000" w:csb0="0004001F" w:csb1="00000000"/>
  </w:font>
  <w:font w:name="Noto Sans CJK SC">
    <w:altName w:val="苹方-简"/>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42F8E">
    <w:pPr>
      <w:pStyle w:val="24"/>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DF2D3">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ADF2D3">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5A09">
    <w:pPr>
      <w:pStyle w:val="25"/>
      <w:pBdr>
        <w:bottom w:val="single" w:color="A0A0A0" w:sz="4" w:space="0"/>
      </w:pBdr>
      <w:spacing w:after="60"/>
      <w:jc w:val="right"/>
      <w:rPr>
        <w:lang w:eastAsia="zh-CN"/>
      </w:rPr>
    </w:pPr>
    <w:r>
      <w:rPr>
        <w:rFonts w:ascii="Noto Sans CJK SC" w:hAnsi="Noto Sans CJK SC" w:eastAsia="Noto Sans CJK SC" w:cs="Noto Sans CJK SC"/>
        <w:color w:val="666666"/>
        <w:sz w:val="17"/>
        <w:lang w:eastAsia="zh-CN"/>
      </w:rPr>
      <w:t>联方云天科技（北京）有限公司管理人｜重整投资人预招募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77B40854"/>
    <w:multiLevelType w:val="singleLevel"/>
    <w:tmpl w:val="77B40854"/>
    <w:lvl w:ilvl="0" w:tentative="0">
      <w:start w:val="1"/>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D0F4B"/>
    <w:rsid w:val="005B264B"/>
    <w:rsid w:val="00682FE2"/>
    <w:rsid w:val="006974D4"/>
    <w:rsid w:val="00712300"/>
    <w:rsid w:val="00722655"/>
    <w:rsid w:val="0092758D"/>
    <w:rsid w:val="009C7735"/>
    <w:rsid w:val="00AA1D8D"/>
    <w:rsid w:val="00B47730"/>
    <w:rsid w:val="00C1768A"/>
    <w:rsid w:val="00C3022C"/>
    <w:rsid w:val="00CB0664"/>
    <w:rsid w:val="00D779AF"/>
    <w:rsid w:val="00F53B83"/>
    <w:rsid w:val="00FC693F"/>
    <w:rsid w:val="6F7BE1CB"/>
    <w:rsid w:val="7F7793B0"/>
    <w:rsid w:val="BEEF1AC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410" w:lineRule="exact"/>
    </w:pPr>
    <w:rPr>
      <w:rFonts w:ascii="Noto Serif CJK SC" w:hAnsi="Noto Serif CJK SC" w:eastAsia="Noto Serif CJK SC" w:cstheme="minorBidi"/>
      <w:sz w:val="24"/>
      <w:szCs w:val="22"/>
      <w:lang w:val="en-US" w:eastAsia="en-US" w:bidi="ar-SA"/>
    </w:rPr>
  </w:style>
  <w:style w:type="paragraph" w:styleId="3">
    <w:name w:val="heading 1"/>
    <w:basedOn w:val="1"/>
    <w:next w:val="1"/>
    <w:link w:val="138"/>
    <w:qFormat/>
    <w:uiPriority w:val="9"/>
    <w:pPr>
      <w:keepNext/>
      <w:keepLines/>
      <w:spacing w:before="240" w:after="100" w:line="462" w:lineRule="exact"/>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140" w:after="100" w:line="406" w:lineRule="exact"/>
      <w:outlineLvl w:val="1"/>
    </w:pPr>
    <w:rPr>
      <w:rFonts w:asciiTheme="majorHAnsi" w:hAnsiTheme="majorHAnsi" w:eastAsiaTheme="majorEastAsia" w:cstheme="majorBidi"/>
      <w:b/>
      <w:bCs/>
      <w:color w:val="000000"/>
      <w:szCs w:val="26"/>
    </w:rPr>
  </w:style>
  <w:style w:type="paragraph" w:styleId="5">
    <w:name w:val="heading 3"/>
    <w:basedOn w:val="1"/>
    <w:next w:val="1"/>
    <w:link w:val="140"/>
    <w:unhideWhenUsed/>
    <w:qFormat/>
    <w:uiPriority w:val="9"/>
    <w:pPr>
      <w:keepNext/>
      <w:keepLines/>
      <w:spacing w:before="140" w:after="100" w:line="396" w:lineRule="exact"/>
      <w:outlineLvl w:val="2"/>
    </w:pPr>
    <w:rPr>
      <w:rFonts w:asciiTheme="majorHAnsi" w:hAnsiTheme="majorHAnsi" w:eastAsiaTheme="majorEastAsia" w:cstheme="majorBidi"/>
      <w:b/>
      <w:bCs/>
      <w:color w:val="000000"/>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 w:type="paragraph" w:customStyle="1" w:styleId="164">
    <w:name w:val="Revision"/>
    <w:hidden/>
    <w:unhideWhenUsed/>
    <w:uiPriority w:val="99"/>
    <w:rPr>
      <w:rFonts w:ascii="Noto Serif CJK SC" w:hAnsi="Noto Serif CJK SC" w:eastAsia="Noto Serif CJK SC"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11</Pages>
  <Words>3828</Words>
  <Characters>3944</Characters>
  <Lines>157</Lines>
  <Paragraphs>152</Paragraphs>
  <TotalTime>14</TotalTime>
  <ScaleCrop>false</ScaleCrop>
  <LinksUpToDate>false</LinksUpToDate>
  <CharactersWithSpaces>7620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2026-10-28T19:40:00Z</dcterms:created>
  <dc:creator>lawyer</dc:creator>
  <dc:description>generated by python-docx</dc:description>
  <cp:lastModifiedBy>lawyer</cp:lastModifiedBy>
  <dcterms:modified xsi:type="dcterms:W3CDTF">2026-10-29T10:52:17Z</dcterms:modified>
  <dc:subject>联方云天科技（北京）有限公司破产清算案</dc:subject>
  <dc:title>联方云天科技（北京）有限公司重整投资人预招募公告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B418E82185297578E1B4E26AAD450F03_43</vt:lpwstr>
  </property>
</Properties>
</file>